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ind w:left="0" w:leftChars="0" w:firstLine="0" w:firstLineChars="0"/>
        <w:jc w:val="center"/>
        <w:rPr>
          <w:rFonts w:ascii="宋体" w:hAnsi="宋体"/>
          <w:b/>
          <w:sz w:val="28"/>
        </w:rPr>
      </w:pPr>
      <w:r>
        <w:rPr>
          <w:rFonts w:hint="eastAsia" w:ascii="宋体" w:hAnsi="宋体"/>
          <w:b/>
          <w:sz w:val="28"/>
        </w:rPr>
        <w:t>中国人民财产保险股份有限公司</w:t>
      </w:r>
    </w:p>
    <w:p>
      <w:pPr>
        <w:pStyle w:val="2"/>
        <w:jc w:val="center"/>
        <w:rPr>
          <w:sz w:val="28"/>
        </w:rPr>
      </w:pPr>
      <w:r>
        <w:rPr>
          <w:rFonts w:hint="eastAsia"/>
          <w:sz w:val="28"/>
        </w:rPr>
        <w:t>附加急性病身故保险</w:t>
      </w:r>
      <w:r>
        <w:rPr>
          <w:rFonts w:hint="eastAsia" w:ascii="宋体" w:hAnsi="宋体"/>
          <w:sz w:val="28"/>
          <w:szCs w:val="28"/>
        </w:rPr>
        <w:t>（互联网</w:t>
      </w:r>
      <w:r>
        <w:rPr>
          <w:rFonts w:ascii="宋体" w:hAnsi="宋体"/>
          <w:sz w:val="28"/>
          <w:szCs w:val="28"/>
        </w:rPr>
        <w:t>专属</w:t>
      </w:r>
      <w:r>
        <w:rPr>
          <w:rFonts w:hint="eastAsia" w:ascii="宋体" w:hAnsi="宋体"/>
          <w:sz w:val="28"/>
          <w:szCs w:val="28"/>
        </w:rPr>
        <w:t>）</w:t>
      </w:r>
      <w:r>
        <w:rPr>
          <w:rFonts w:hint="eastAsia"/>
          <w:sz w:val="28"/>
        </w:rPr>
        <w:t>条款</w:t>
      </w:r>
    </w:p>
    <w:p>
      <w:pPr>
        <w:jc w:val="center"/>
        <w:rPr>
          <w:rFonts w:hint="eastAsia" w:asciiTheme="minorEastAsia" w:hAnsiTheme="minorEastAsia" w:eastAsiaTheme="minorEastAsia"/>
        </w:rPr>
      </w:pPr>
    </w:p>
    <w:p>
      <w:pPr>
        <w:keepNext/>
        <w:keepLines/>
        <w:tabs>
          <w:tab w:val="left" w:pos="993"/>
        </w:tabs>
        <w:outlineLvl w:val="0"/>
        <w:rPr>
          <w:rFonts w:ascii="宋体" w:hAnsi="宋体" w:cs="宋体"/>
          <w:b/>
          <w:bCs/>
          <w:color w:val="000000"/>
          <w:kern w:val="44"/>
          <w:szCs w:val="21"/>
        </w:rPr>
      </w:pPr>
      <w:r>
        <w:rPr>
          <w:rFonts w:hint="eastAsia" w:ascii="宋体" w:hAnsi="宋体" w:cs="宋体"/>
          <w:b/>
          <w:bCs/>
          <w:color w:val="000000"/>
          <w:kern w:val="44"/>
          <w:szCs w:val="21"/>
        </w:rPr>
        <w:t>1</w:t>
      </w:r>
      <w:r>
        <w:rPr>
          <w:rFonts w:hint="eastAsia" w:ascii="宋体" w:hAnsi="宋体" w:cs="宋体"/>
          <w:b/>
          <w:bCs/>
          <w:color w:val="000000"/>
          <w:kern w:val="44"/>
          <w:szCs w:val="21"/>
        </w:rPr>
        <w:tab/>
      </w:r>
      <w:r>
        <w:rPr>
          <w:rFonts w:hint="eastAsia" w:ascii="宋体" w:hAnsi="宋体" w:cs="宋体"/>
          <w:b/>
          <w:bCs/>
          <w:color w:val="000000"/>
          <w:kern w:val="44"/>
          <w:szCs w:val="21"/>
        </w:rPr>
        <w:t>总则</w:t>
      </w:r>
    </w:p>
    <w:p>
      <w:pPr>
        <w:keepNext/>
        <w:keepLines/>
        <w:tabs>
          <w:tab w:val="left" w:pos="993"/>
        </w:tabs>
        <w:outlineLvl w:val="1"/>
        <w:rPr>
          <w:rFonts w:ascii="宋体" w:hAnsi="宋体" w:cs="宋体"/>
          <w:b/>
          <w:bCs/>
          <w:color w:val="000000"/>
          <w:szCs w:val="21"/>
        </w:rPr>
      </w:pPr>
      <w:r>
        <w:rPr>
          <w:rFonts w:hint="eastAsia" w:ascii="宋体" w:hAnsi="宋体" w:cs="宋体"/>
          <w:b/>
          <w:bCs/>
          <w:color w:val="000000"/>
          <w:szCs w:val="21"/>
        </w:rPr>
        <w:t>1.1</w:t>
      </w:r>
      <w:r>
        <w:rPr>
          <w:rFonts w:hint="eastAsia" w:ascii="宋体" w:hAnsi="宋体" w:cs="宋体"/>
          <w:b/>
          <w:bCs/>
          <w:color w:val="000000"/>
          <w:szCs w:val="21"/>
        </w:rPr>
        <w:tab/>
      </w:r>
      <w:r>
        <w:rPr>
          <w:rFonts w:hint="eastAsia" w:ascii="宋体" w:hAnsi="宋体" w:cs="宋体"/>
          <w:b/>
          <w:bCs/>
          <w:color w:val="000000"/>
          <w:szCs w:val="21"/>
        </w:rPr>
        <w:t>投保附加险的条件</w:t>
      </w:r>
    </w:p>
    <w:p>
      <w:pPr>
        <w:adjustRightInd w:val="0"/>
        <w:snapToGrid w:val="0"/>
        <w:ind w:left="945" w:leftChars="450" w:firstLine="420" w:firstLineChars="200"/>
        <w:rPr>
          <w:rFonts w:ascii="宋体" w:hAnsi="宋体"/>
          <w:szCs w:val="21"/>
        </w:rPr>
      </w:pPr>
      <w:r>
        <w:rPr>
          <w:rFonts w:hint="eastAsia" w:ascii="宋体" w:hAnsi="宋体"/>
          <w:szCs w:val="21"/>
        </w:rPr>
        <w:t>本条款为本保险单约定的意外健康险类主险的附加险条款。只有在投保了主险的基础上，方可投保本附加险。</w:t>
      </w:r>
    </w:p>
    <w:p>
      <w:pPr>
        <w:keepNext/>
        <w:keepLines/>
        <w:tabs>
          <w:tab w:val="left" w:pos="993"/>
        </w:tabs>
        <w:outlineLvl w:val="1"/>
        <w:rPr>
          <w:rFonts w:ascii="宋体" w:hAnsi="宋体" w:cs="宋体"/>
          <w:b/>
          <w:bCs/>
          <w:color w:val="000000"/>
          <w:szCs w:val="21"/>
        </w:rPr>
      </w:pPr>
      <w:r>
        <w:rPr>
          <w:rFonts w:hint="eastAsia" w:ascii="宋体" w:hAnsi="宋体" w:cs="宋体"/>
          <w:b/>
          <w:bCs/>
          <w:color w:val="000000"/>
          <w:szCs w:val="21"/>
        </w:rPr>
        <w:t>1.2</w:t>
      </w:r>
      <w:r>
        <w:rPr>
          <w:rFonts w:hint="eastAsia" w:ascii="宋体" w:hAnsi="宋体" w:cs="宋体"/>
          <w:b/>
          <w:bCs/>
          <w:color w:val="000000"/>
          <w:szCs w:val="21"/>
        </w:rPr>
        <w:tab/>
      </w:r>
      <w:r>
        <w:rPr>
          <w:rFonts w:hint="eastAsia" w:ascii="宋体" w:hAnsi="宋体" w:cs="宋体"/>
          <w:b/>
          <w:bCs/>
          <w:color w:val="000000"/>
          <w:szCs w:val="21"/>
        </w:rPr>
        <w:t>主险与附加险关系</w:t>
      </w:r>
      <w:bookmarkStart w:id="9" w:name="_GoBack"/>
      <w:bookmarkEnd w:id="9"/>
    </w:p>
    <w:p>
      <w:pPr>
        <w:adjustRightInd w:val="0"/>
        <w:snapToGrid w:val="0"/>
        <w:ind w:left="945" w:leftChars="450" w:firstLine="420" w:firstLineChars="200"/>
        <w:rPr>
          <w:rFonts w:ascii="宋体" w:hAnsi="宋体"/>
          <w:szCs w:val="21"/>
        </w:rPr>
      </w:pPr>
      <w:r>
        <w:rPr>
          <w:rFonts w:hint="eastAsia" w:ascii="宋体" w:hAnsi="宋体"/>
          <w:szCs w:val="21"/>
        </w:rPr>
        <w:t>凡涉及本附加险合同的约定，均应采用书面形式。主险合同与本附加险合同相抵触之处，以本附加险合同为准；本附加险合同未约定事项，以主险合同为准。主险合同无效，本附加险合同亦无效。</w:t>
      </w:r>
    </w:p>
    <w:p>
      <w:pPr>
        <w:keepNext/>
        <w:keepLines/>
        <w:tabs>
          <w:tab w:val="left" w:pos="993"/>
        </w:tabs>
        <w:outlineLvl w:val="1"/>
        <w:rPr>
          <w:rFonts w:ascii="宋体" w:hAnsi="宋体" w:cs="宋体"/>
          <w:b/>
          <w:bCs/>
          <w:color w:val="000000"/>
          <w:szCs w:val="21"/>
        </w:rPr>
      </w:pPr>
      <w:r>
        <w:rPr>
          <w:rFonts w:hint="eastAsia" w:ascii="宋体" w:hAnsi="宋体" w:cs="宋体"/>
          <w:b/>
          <w:bCs/>
          <w:color w:val="000000"/>
          <w:szCs w:val="21"/>
        </w:rPr>
        <w:t>1.</w:t>
      </w:r>
      <w:r>
        <w:rPr>
          <w:rFonts w:ascii="宋体" w:hAnsi="宋体" w:cs="宋体"/>
          <w:b/>
          <w:bCs/>
          <w:color w:val="000000"/>
          <w:szCs w:val="21"/>
        </w:rPr>
        <w:t>3</w:t>
      </w:r>
      <w:r>
        <w:rPr>
          <w:rFonts w:hint="eastAsia" w:ascii="宋体" w:hAnsi="宋体" w:cs="宋体"/>
          <w:b/>
          <w:bCs/>
          <w:color w:val="000000"/>
          <w:szCs w:val="21"/>
        </w:rPr>
        <w:tab/>
      </w:r>
      <w:r>
        <w:rPr>
          <w:rFonts w:hint="eastAsia" w:ascii="宋体" w:hAnsi="宋体" w:cs="宋体"/>
          <w:b/>
          <w:bCs/>
          <w:color w:val="000000"/>
          <w:szCs w:val="21"/>
        </w:rPr>
        <w:t>受益人</w:t>
      </w:r>
    </w:p>
    <w:p>
      <w:pPr>
        <w:pStyle w:val="24"/>
        <w:ind w:left="945" w:leftChars="450" w:firstLine="422"/>
        <w:rPr>
          <w:rFonts w:ascii="宋体" w:hAnsi="宋体"/>
          <w:szCs w:val="21"/>
        </w:rPr>
      </w:pPr>
      <w:r>
        <w:rPr>
          <w:rFonts w:hint="eastAsia" w:ascii="宋体" w:hAnsi="宋体"/>
          <w:szCs w:val="21"/>
        </w:rPr>
        <w:t>订立本</w:t>
      </w:r>
      <w:r>
        <w:rPr>
          <w:rFonts w:hint="eastAsia" w:ascii="宋体" w:hAnsi="宋体"/>
          <w:szCs w:val="21"/>
          <w:lang w:val="en-US" w:eastAsia="zh-CN"/>
        </w:rPr>
        <w:t>附加</w:t>
      </w:r>
      <w:r>
        <w:rPr>
          <w:rFonts w:hint="eastAsia" w:ascii="宋体" w:hAnsi="宋体"/>
          <w:szCs w:val="21"/>
        </w:rPr>
        <w:t>险合同时，被保险人或投保人可指定一人或数人为本</w:t>
      </w:r>
      <w:r>
        <w:rPr>
          <w:rFonts w:hint="eastAsia" w:ascii="宋体" w:hAnsi="宋体"/>
          <w:szCs w:val="21"/>
          <w:lang w:val="en-US" w:eastAsia="zh-CN"/>
        </w:rPr>
        <w:t>附加险</w:t>
      </w:r>
      <w:r>
        <w:rPr>
          <w:rFonts w:hint="eastAsia" w:ascii="宋体" w:hAnsi="宋体"/>
          <w:szCs w:val="21"/>
        </w:rPr>
        <w:t>合同</w:t>
      </w:r>
      <w:r>
        <w:rPr>
          <w:rFonts w:hint="eastAsia" w:ascii="宋体" w:hAnsi="宋体"/>
          <w:szCs w:val="21"/>
          <w:highlight w:val="none"/>
        </w:rPr>
        <w:t>的身故保险金受益人。身故保险金受益人为数人时，应确定其受益顺序和受益份额；未确定受益份额的，各身故保</w:t>
      </w:r>
      <w:r>
        <w:rPr>
          <w:rFonts w:hint="eastAsia" w:ascii="宋体" w:hAnsi="宋体"/>
          <w:szCs w:val="21"/>
        </w:rPr>
        <w:t>险金受益人按照相等份额享有受益权。</w:t>
      </w:r>
    </w:p>
    <w:p>
      <w:pPr>
        <w:pStyle w:val="24"/>
        <w:ind w:left="945" w:leftChars="450"/>
        <w:rPr>
          <w:rFonts w:ascii="宋体" w:hAnsi="宋体"/>
          <w:szCs w:val="21"/>
        </w:rPr>
      </w:pPr>
      <w:r>
        <w:rPr>
          <w:rFonts w:hint="eastAsia" w:ascii="宋体" w:hAnsi="宋体"/>
          <w:szCs w:val="21"/>
        </w:rPr>
        <w:t>被保险人或投保人可以变更保险金受益人，但需书面通知保险人，由保险人在本</w:t>
      </w:r>
      <w:r>
        <w:rPr>
          <w:rFonts w:hint="eastAsia" w:ascii="宋体" w:hAnsi="宋体"/>
          <w:szCs w:val="21"/>
          <w:lang w:val="en-US" w:eastAsia="zh-CN"/>
        </w:rPr>
        <w:t>附加险</w:t>
      </w:r>
      <w:r>
        <w:rPr>
          <w:rFonts w:hint="eastAsia" w:ascii="宋体" w:hAnsi="宋体"/>
          <w:szCs w:val="21"/>
        </w:rPr>
        <w:t>合同上批注。</w:t>
      </w:r>
    </w:p>
    <w:p>
      <w:pPr>
        <w:pStyle w:val="24"/>
        <w:ind w:left="945" w:leftChars="450"/>
        <w:rPr>
          <w:rFonts w:ascii="宋体" w:hAnsi="宋体"/>
          <w:szCs w:val="21"/>
        </w:rPr>
      </w:pPr>
      <w:r>
        <w:rPr>
          <w:rFonts w:hint="eastAsia" w:ascii="宋体" w:hAnsi="宋体"/>
          <w:szCs w:val="21"/>
        </w:rPr>
        <w:t>投保人指定或变更保险金受益人的，应经被保险人同意。被保险人不具有完全民事行为能力的，应由其监护人指定或变更保险金受益人。</w:t>
      </w:r>
    </w:p>
    <w:p>
      <w:pPr>
        <w:pStyle w:val="24"/>
        <w:ind w:left="945" w:leftChars="450" w:firstLine="422"/>
        <w:rPr>
          <w:rFonts w:ascii="Arial" w:hAnsi="Arial" w:cs="Arial"/>
          <w:b/>
          <w:color w:val="000000"/>
          <w:szCs w:val="21"/>
        </w:rPr>
      </w:pPr>
      <w:r>
        <w:rPr>
          <w:rFonts w:hint="eastAsia" w:ascii="Arial" w:hAnsi="Arial" w:cs="Arial"/>
          <w:b/>
          <w:color w:val="000000"/>
          <w:szCs w:val="21"/>
        </w:rPr>
        <w:t>受益人故意造成被保险人死亡、伤残、疾病的，或者故意杀害被保险人未遂的，该受益人丧失受益权。</w:t>
      </w:r>
    </w:p>
    <w:p>
      <w:pPr>
        <w:keepNext/>
        <w:keepLines/>
        <w:tabs>
          <w:tab w:val="left" w:pos="993"/>
        </w:tabs>
        <w:outlineLvl w:val="0"/>
        <w:rPr>
          <w:rFonts w:ascii="宋体" w:hAnsi="宋体" w:cs="宋体"/>
          <w:b/>
          <w:bCs/>
          <w:color w:val="000000"/>
          <w:kern w:val="44"/>
          <w:szCs w:val="21"/>
        </w:rPr>
      </w:pPr>
      <w:r>
        <w:rPr>
          <w:rFonts w:hint="eastAsia" w:ascii="宋体" w:hAnsi="宋体" w:cs="宋体"/>
          <w:b/>
          <w:bCs/>
          <w:color w:val="000000"/>
          <w:kern w:val="44"/>
          <w:szCs w:val="21"/>
        </w:rPr>
        <w:t>2</w:t>
      </w:r>
      <w:r>
        <w:rPr>
          <w:rFonts w:hint="eastAsia" w:ascii="宋体" w:hAnsi="宋体" w:cs="宋体"/>
          <w:b/>
          <w:bCs/>
          <w:color w:val="000000"/>
          <w:kern w:val="44"/>
          <w:szCs w:val="21"/>
        </w:rPr>
        <w:tab/>
      </w:r>
      <w:r>
        <w:rPr>
          <w:rFonts w:hint="eastAsia" w:ascii="宋体" w:hAnsi="宋体" w:cs="宋体"/>
          <w:b/>
          <w:bCs/>
          <w:color w:val="000000"/>
          <w:kern w:val="44"/>
          <w:szCs w:val="21"/>
        </w:rPr>
        <w:t>保障内容</w:t>
      </w:r>
    </w:p>
    <w:p>
      <w:pPr>
        <w:keepNext/>
        <w:keepLines/>
        <w:tabs>
          <w:tab w:val="left" w:pos="993"/>
        </w:tabs>
        <w:outlineLvl w:val="1"/>
        <w:rPr>
          <w:rFonts w:ascii="宋体" w:hAnsi="宋体" w:cs="宋体"/>
          <w:b/>
          <w:bCs/>
          <w:color w:val="000000"/>
          <w:szCs w:val="21"/>
        </w:rPr>
      </w:pPr>
      <w:r>
        <w:rPr>
          <w:rFonts w:hint="eastAsia" w:ascii="宋体" w:hAnsi="宋体" w:cs="宋体"/>
          <w:b/>
          <w:bCs/>
          <w:color w:val="000000"/>
          <w:szCs w:val="21"/>
        </w:rPr>
        <w:t>2.1</w:t>
      </w:r>
      <w:r>
        <w:rPr>
          <w:rFonts w:hint="eastAsia" w:ascii="宋体" w:hAnsi="宋体" w:cs="宋体"/>
          <w:b/>
          <w:bCs/>
          <w:color w:val="000000"/>
          <w:szCs w:val="21"/>
        </w:rPr>
        <w:tab/>
      </w:r>
      <w:r>
        <w:rPr>
          <w:rFonts w:hint="eastAsia" w:ascii="宋体" w:hAnsi="宋体" w:cs="宋体"/>
          <w:b/>
          <w:bCs/>
          <w:color w:val="000000"/>
          <w:szCs w:val="21"/>
        </w:rPr>
        <w:t>保险责任</w:t>
      </w:r>
    </w:p>
    <w:p>
      <w:pPr>
        <w:pStyle w:val="44"/>
        <w:adjustRightInd w:val="0"/>
        <w:snapToGrid w:val="0"/>
        <w:ind w:left="945" w:leftChars="450"/>
        <w:rPr>
          <w:rFonts w:ascii="宋体" w:hAnsi="宋体"/>
          <w:szCs w:val="21"/>
        </w:rPr>
      </w:pPr>
      <w:r>
        <w:rPr>
          <w:rFonts w:hint="eastAsia" w:asciiTheme="minorEastAsia" w:hAnsiTheme="minorEastAsia" w:eastAsiaTheme="minorEastAsia"/>
        </w:rPr>
        <w:t>被保险人自获得被保资格</w:t>
      </w:r>
      <w:r>
        <w:rPr>
          <w:rFonts w:hint="eastAsia" w:ascii="宋体" w:hAnsi="宋体"/>
          <w:b/>
          <w:szCs w:val="21"/>
        </w:rPr>
        <w:t>（见释义）</w:t>
      </w:r>
      <w:r>
        <w:rPr>
          <w:rFonts w:hint="eastAsia" w:asciiTheme="minorEastAsia" w:hAnsiTheme="minorEastAsia" w:eastAsiaTheme="minorEastAsia"/>
        </w:rPr>
        <w:t>之日起</w:t>
      </w:r>
      <w:r>
        <w:rPr>
          <w:rFonts w:hint="eastAsia" w:asciiTheme="minorEastAsia" w:hAnsiTheme="minorEastAsia" w:eastAsiaTheme="minorEastAsia"/>
          <w:lang w:eastAsia="zh-CN"/>
        </w:rPr>
        <w:t>，</w:t>
      </w:r>
      <w:r>
        <w:rPr>
          <w:rFonts w:hint="eastAsia" w:asciiTheme="minorEastAsia" w:hAnsiTheme="minorEastAsia" w:eastAsiaTheme="minorEastAsia"/>
        </w:rPr>
        <w:t>在保险期间内</w:t>
      </w:r>
      <w:r>
        <w:rPr>
          <w:rFonts w:hint="eastAsia" w:ascii="宋体" w:hAnsi="宋体"/>
          <w:b/>
          <w:bCs/>
          <w:szCs w:val="21"/>
        </w:rPr>
        <w:t>突发</w:t>
      </w:r>
      <w:r>
        <w:rPr>
          <w:rFonts w:hint="eastAsia" w:ascii="宋体" w:hAnsi="宋体"/>
          <w:b/>
          <w:szCs w:val="21"/>
        </w:rPr>
        <w:t>急性病（见释义）</w:t>
      </w:r>
      <w:r>
        <w:rPr>
          <w:rFonts w:hint="eastAsia" w:ascii="宋体" w:hAnsi="宋体"/>
          <w:szCs w:val="21"/>
        </w:rPr>
        <w:t>，并自发病之日起3日内因该急性病导致身故的，保险人依照本附加险合同项下该被保险人的保险金额给付身故保险金，对该被保险人的保险责任终止。</w:t>
      </w:r>
    </w:p>
    <w:p>
      <w:pPr>
        <w:keepNext/>
        <w:keepLines/>
        <w:tabs>
          <w:tab w:val="left" w:pos="993"/>
        </w:tabs>
        <w:outlineLvl w:val="1"/>
        <w:rPr>
          <w:rFonts w:ascii="宋体" w:hAnsi="宋体" w:cs="宋体"/>
          <w:b/>
          <w:bCs/>
          <w:color w:val="000000"/>
          <w:szCs w:val="21"/>
        </w:rPr>
      </w:pPr>
      <w:r>
        <w:rPr>
          <w:rFonts w:hint="eastAsia" w:ascii="宋体" w:hAnsi="宋体" w:cs="宋体"/>
          <w:b/>
          <w:bCs/>
          <w:color w:val="000000"/>
          <w:szCs w:val="21"/>
        </w:rPr>
        <w:t>2.</w:t>
      </w:r>
      <w:r>
        <w:rPr>
          <w:rFonts w:ascii="宋体" w:hAnsi="宋体" w:cs="宋体"/>
          <w:b/>
          <w:bCs/>
          <w:color w:val="000000"/>
          <w:szCs w:val="21"/>
        </w:rPr>
        <w:t>2</w:t>
      </w:r>
      <w:r>
        <w:rPr>
          <w:rFonts w:hint="eastAsia" w:ascii="宋体" w:hAnsi="宋体" w:cs="宋体"/>
          <w:b/>
          <w:bCs/>
          <w:color w:val="000000"/>
          <w:szCs w:val="21"/>
        </w:rPr>
        <w:tab/>
      </w:r>
      <w:r>
        <w:rPr>
          <w:rFonts w:hint="eastAsia" w:ascii="宋体" w:hAnsi="宋体" w:cs="宋体"/>
          <w:b/>
          <w:bCs/>
          <w:color w:val="000000"/>
          <w:szCs w:val="21"/>
        </w:rPr>
        <w:t>责任免除</w:t>
      </w:r>
    </w:p>
    <w:p>
      <w:pPr>
        <w:pStyle w:val="24"/>
        <w:ind w:left="945" w:leftChars="450" w:firstLine="422"/>
        <w:rPr>
          <w:rFonts w:ascii="Arial" w:hAnsi="Arial" w:cs="Arial"/>
          <w:b/>
          <w:color w:val="000000"/>
          <w:szCs w:val="21"/>
        </w:rPr>
      </w:pPr>
      <w:r>
        <w:rPr>
          <w:rFonts w:hint="eastAsia" w:ascii="Arial" w:hAnsi="Arial" w:cs="Arial"/>
          <w:b/>
          <w:color w:val="000000"/>
          <w:szCs w:val="21"/>
        </w:rPr>
        <w:t>因下列情形之一，导致被保险人身故的，保险人不承担给付保险金责任：</w:t>
      </w:r>
    </w:p>
    <w:p>
      <w:pPr>
        <w:pStyle w:val="24"/>
        <w:numPr>
          <w:ilvl w:val="0"/>
          <w:numId w:val="1"/>
        </w:numPr>
        <w:ind w:left="1625" w:leftChars="450" w:hanging="680" w:firstLineChars="0"/>
        <w:rPr>
          <w:rFonts w:ascii="宋体" w:hAnsi="宋体"/>
          <w:b/>
          <w:szCs w:val="21"/>
        </w:rPr>
      </w:pPr>
      <w:r>
        <w:rPr>
          <w:rFonts w:hint="eastAsia" w:ascii="宋体" w:hAnsi="宋体"/>
          <w:b/>
          <w:szCs w:val="21"/>
        </w:rPr>
        <w:t>投保人对被保险人的故意杀害、故意伤害；</w:t>
      </w:r>
    </w:p>
    <w:p>
      <w:pPr>
        <w:pStyle w:val="24"/>
        <w:numPr>
          <w:ilvl w:val="0"/>
          <w:numId w:val="1"/>
        </w:numPr>
        <w:ind w:left="1625" w:leftChars="450" w:hanging="680" w:firstLineChars="0"/>
        <w:rPr>
          <w:rFonts w:ascii="宋体" w:hAnsi="宋体"/>
          <w:b/>
          <w:szCs w:val="21"/>
        </w:rPr>
      </w:pPr>
      <w:r>
        <w:rPr>
          <w:rFonts w:hint="eastAsia" w:ascii="宋体" w:hAnsi="宋体"/>
          <w:b/>
          <w:szCs w:val="21"/>
        </w:rPr>
        <w:t>被保险人分娩、流产、宫外孕、不孕不育治疗、人工受精、怀孕、堕胎、节育（含绝育）、产前产后检查、变性以及由以上原因引起的并发症；</w:t>
      </w:r>
    </w:p>
    <w:p>
      <w:pPr>
        <w:pStyle w:val="24"/>
        <w:numPr>
          <w:ilvl w:val="0"/>
          <w:numId w:val="1"/>
        </w:numPr>
        <w:ind w:left="1625" w:leftChars="450" w:hanging="680" w:firstLineChars="0"/>
        <w:rPr>
          <w:rFonts w:ascii="宋体" w:hAnsi="宋体"/>
          <w:b/>
          <w:szCs w:val="21"/>
        </w:rPr>
      </w:pPr>
      <w:r>
        <w:rPr>
          <w:rFonts w:hint="eastAsia" w:ascii="宋体" w:hAnsi="宋体"/>
          <w:b/>
          <w:szCs w:val="21"/>
        </w:rPr>
        <w:t>被保险人未遵医嘱服用、涂用、注射药物，但按使用说明的规定使用非处方药不在此限；</w:t>
      </w:r>
    </w:p>
    <w:p>
      <w:pPr>
        <w:pStyle w:val="24"/>
        <w:numPr>
          <w:ilvl w:val="0"/>
          <w:numId w:val="1"/>
        </w:numPr>
        <w:ind w:left="1625" w:leftChars="450" w:hanging="680" w:firstLineChars="0"/>
        <w:rPr>
          <w:rFonts w:ascii="宋体" w:hAnsi="宋体"/>
          <w:b/>
          <w:szCs w:val="21"/>
        </w:rPr>
      </w:pPr>
      <w:r>
        <w:rPr>
          <w:rFonts w:hint="eastAsia" w:ascii="宋体" w:hAnsi="宋体"/>
          <w:b/>
          <w:szCs w:val="21"/>
        </w:rPr>
        <w:t>被保险人受酒精、毒品、管制药物的影响，但遵医嘱使用药物的情形不在此限；</w:t>
      </w:r>
    </w:p>
    <w:p>
      <w:pPr>
        <w:pStyle w:val="24"/>
        <w:numPr>
          <w:ilvl w:val="0"/>
          <w:numId w:val="1"/>
        </w:numPr>
        <w:ind w:left="1625" w:leftChars="450" w:hanging="680" w:firstLineChars="0"/>
        <w:rPr>
          <w:rFonts w:ascii="宋体" w:hAnsi="宋体"/>
          <w:b/>
          <w:szCs w:val="21"/>
        </w:rPr>
      </w:pPr>
      <w:r>
        <w:rPr>
          <w:rFonts w:hint="eastAsia" w:ascii="宋体" w:hAnsi="宋体"/>
          <w:b/>
          <w:szCs w:val="21"/>
        </w:rPr>
        <w:t>任何生物、化学、原子能武器，原子能或核能装置所造成的爆炸、灼伤、污染或辐射；</w:t>
      </w:r>
    </w:p>
    <w:p>
      <w:pPr>
        <w:pStyle w:val="24"/>
        <w:numPr>
          <w:ilvl w:val="0"/>
          <w:numId w:val="1"/>
        </w:numPr>
        <w:ind w:left="1625" w:leftChars="450" w:hanging="680" w:firstLineChars="0"/>
        <w:rPr>
          <w:rFonts w:ascii="宋体" w:hAnsi="宋体"/>
          <w:b/>
          <w:szCs w:val="21"/>
        </w:rPr>
      </w:pPr>
      <w:r>
        <w:rPr>
          <w:rFonts w:hint="eastAsia" w:ascii="宋体" w:hAnsi="宋体"/>
          <w:b/>
          <w:szCs w:val="21"/>
        </w:rPr>
        <w:t>被保险人感染艾滋病病毒或患艾滋病（见释义）；</w:t>
      </w:r>
    </w:p>
    <w:p>
      <w:pPr>
        <w:pStyle w:val="24"/>
        <w:numPr>
          <w:ilvl w:val="0"/>
          <w:numId w:val="1"/>
        </w:numPr>
        <w:ind w:left="1625" w:leftChars="450" w:hanging="680" w:firstLineChars="0"/>
        <w:rPr>
          <w:rFonts w:ascii="宋体" w:hAnsi="宋体"/>
          <w:b/>
          <w:szCs w:val="21"/>
        </w:rPr>
      </w:pPr>
      <w:r>
        <w:rPr>
          <w:rFonts w:hint="eastAsia" w:ascii="宋体" w:hAnsi="宋体"/>
          <w:b/>
          <w:szCs w:val="21"/>
        </w:rPr>
        <w:t>战争、军事冲突、暴乱或武装叛乱、恐怖袭击；</w:t>
      </w:r>
    </w:p>
    <w:p>
      <w:pPr>
        <w:pStyle w:val="24"/>
        <w:numPr>
          <w:ilvl w:val="0"/>
          <w:numId w:val="1"/>
        </w:numPr>
        <w:ind w:left="1625" w:leftChars="450" w:hanging="680" w:firstLineChars="0"/>
        <w:rPr>
          <w:rFonts w:ascii="宋体" w:hAnsi="宋体"/>
          <w:b/>
          <w:szCs w:val="21"/>
        </w:rPr>
      </w:pPr>
      <w:r>
        <w:rPr>
          <w:rFonts w:hint="eastAsia" w:ascii="宋体" w:hAnsi="宋体"/>
          <w:b/>
          <w:szCs w:val="21"/>
        </w:rPr>
        <w:t>被保险人故意犯罪或抗拒依法采取的刑事强制措施；</w:t>
      </w:r>
    </w:p>
    <w:p>
      <w:pPr>
        <w:pStyle w:val="24"/>
        <w:numPr>
          <w:ilvl w:val="0"/>
          <w:numId w:val="1"/>
        </w:numPr>
        <w:ind w:left="1625" w:leftChars="450" w:hanging="680" w:firstLineChars="0"/>
        <w:rPr>
          <w:rFonts w:ascii="宋体" w:hAnsi="宋体"/>
          <w:b/>
          <w:szCs w:val="21"/>
        </w:rPr>
      </w:pPr>
      <w:r>
        <w:rPr>
          <w:rFonts w:hint="eastAsia" w:ascii="宋体" w:hAnsi="宋体"/>
          <w:b/>
          <w:szCs w:val="21"/>
        </w:rPr>
        <w:t>被保险人存在精神和行为障碍（以世界卫生组织颁布的《疾病和有关健康问题的国际统计分类（</w:t>
      </w:r>
      <w:r>
        <w:rPr>
          <w:rFonts w:ascii="宋体" w:hAnsi="宋体"/>
          <w:b/>
          <w:szCs w:val="21"/>
        </w:rPr>
        <w:t>ICD-10）》为准）；</w:t>
      </w:r>
    </w:p>
    <w:p>
      <w:pPr>
        <w:pStyle w:val="24"/>
        <w:numPr>
          <w:ilvl w:val="0"/>
          <w:numId w:val="1"/>
        </w:numPr>
        <w:ind w:left="1625" w:leftChars="450" w:hanging="680" w:firstLineChars="0"/>
        <w:rPr>
          <w:rFonts w:ascii="宋体" w:hAnsi="宋体"/>
          <w:b/>
          <w:szCs w:val="21"/>
        </w:rPr>
      </w:pPr>
      <w:r>
        <w:rPr>
          <w:rFonts w:hint="eastAsia" w:ascii="宋体" w:hAnsi="宋体"/>
          <w:b/>
          <w:szCs w:val="21"/>
        </w:rPr>
        <w:t>遗传性疾病（见释义），先天性畸形、变形或染色体异常（见释义）；</w:t>
      </w:r>
    </w:p>
    <w:p>
      <w:pPr>
        <w:pStyle w:val="24"/>
        <w:numPr>
          <w:ilvl w:val="0"/>
          <w:numId w:val="1"/>
        </w:numPr>
        <w:ind w:left="1625" w:leftChars="450" w:hanging="680" w:firstLineChars="0"/>
        <w:rPr>
          <w:rFonts w:ascii="宋体" w:hAnsi="宋体"/>
          <w:b/>
          <w:szCs w:val="21"/>
        </w:rPr>
      </w:pPr>
      <w:r>
        <w:rPr>
          <w:rFonts w:hint="eastAsia" w:ascii="宋体" w:hAnsi="宋体"/>
          <w:b/>
          <w:szCs w:val="21"/>
        </w:rPr>
        <w:t>法定</w:t>
      </w:r>
      <w:r>
        <w:rPr>
          <w:rFonts w:ascii="宋体" w:hAnsi="宋体"/>
          <w:b/>
          <w:szCs w:val="21"/>
        </w:rPr>
        <w:t>传染病</w:t>
      </w:r>
      <w:r>
        <w:rPr>
          <w:rFonts w:hint="eastAsia" w:ascii="宋体" w:hAnsi="宋体"/>
          <w:b/>
          <w:szCs w:val="21"/>
        </w:rPr>
        <w:t>（见</w:t>
      </w:r>
      <w:r>
        <w:rPr>
          <w:rFonts w:ascii="宋体" w:hAnsi="宋体"/>
          <w:b/>
          <w:szCs w:val="21"/>
        </w:rPr>
        <w:t>释义</w:t>
      </w:r>
      <w:r>
        <w:rPr>
          <w:rFonts w:hint="eastAsia" w:ascii="宋体" w:hAnsi="宋体"/>
          <w:b/>
          <w:szCs w:val="21"/>
        </w:rPr>
        <w:t>）</w:t>
      </w:r>
      <w:r>
        <w:rPr>
          <w:rFonts w:ascii="宋体" w:hAnsi="宋体"/>
          <w:b/>
          <w:szCs w:val="21"/>
        </w:rPr>
        <w:t>；</w:t>
      </w:r>
    </w:p>
    <w:p>
      <w:pPr>
        <w:pStyle w:val="24"/>
        <w:numPr>
          <w:ilvl w:val="0"/>
          <w:numId w:val="1"/>
        </w:numPr>
        <w:ind w:left="1625" w:leftChars="450" w:hanging="680" w:firstLineChars="0"/>
        <w:rPr>
          <w:rFonts w:ascii="宋体" w:hAnsi="宋体"/>
          <w:b/>
          <w:szCs w:val="21"/>
        </w:rPr>
      </w:pPr>
      <w:r>
        <w:rPr>
          <w:rFonts w:hint="eastAsia" w:ascii="宋体" w:hAnsi="宋体"/>
          <w:b/>
          <w:szCs w:val="21"/>
        </w:rPr>
        <w:t>被保险人在获得被保资格前所患既往症（见释义）及保险单中特别约定的除外疾病；</w:t>
      </w:r>
    </w:p>
    <w:p>
      <w:pPr>
        <w:pStyle w:val="24"/>
        <w:numPr>
          <w:ilvl w:val="0"/>
          <w:numId w:val="1"/>
        </w:numPr>
        <w:ind w:left="1625" w:leftChars="450" w:hanging="680" w:firstLineChars="0"/>
        <w:rPr>
          <w:rFonts w:ascii="宋体" w:hAnsi="宋体"/>
          <w:b/>
          <w:szCs w:val="21"/>
        </w:rPr>
      </w:pPr>
      <w:r>
        <w:rPr>
          <w:rFonts w:hint="eastAsia" w:ascii="宋体" w:hAnsi="宋体"/>
          <w:b/>
          <w:szCs w:val="21"/>
        </w:rPr>
        <w:t>被</w:t>
      </w:r>
      <w:r>
        <w:rPr>
          <w:rFonts w:ascii="宋体" w:hAnsi="宋体"/>
          <w:b/>
          <w:szCs w:val="21"/>
        </w:rPr>
        <w:t>保险人因遭受意外伤害导致突发急性病</w:t>
      </w:r>
      <w:r>
        <w:rPr>
          <w:rFonts w:hint="eastAsia" w:ascii="宋体" w:hAnsi="宋体"/>
          <w:b/>
          <w:szCs w:val="21"/>
        </w:rPr>
        <w:t>。</w:t>
      </w:r>
    </w:p>
    <w:p>
      <w:pPr>
        <w:keepNext/>
        <w:keepLines/>
        <w:tabs>
          <w:tab w:val="left" w:pos="993"/>
        </w:tabs>
        <w:ind w:left="991" w:hanging="991" w:hangingChars="470"/>
        <w:outlineLvl w:val="2"/>
        <w:rPr>
          <w:rFonts w:ascii="宋体" w:hAnsi="宋体" w:cs="宋体"/>
          <w:b/>
          <w:bCs/>
          <w:color w:val="000000"/>
          <w:szCs w:val="21"/>
        </w:rPr>
      </w:pPr>
      <w:r>
        <w:rPr>
          <w:rFonts w:hint="eastAsia" w:ascii="宋体" w:hAnsi="宋体" w:cs="宋体"/>
          <w:b/>
          <w:bCs/>
          <w:color w:val="000000"/>
          <w:szCs w:val="21"/>
        </w:rPr>
        <w:t xml:space="preserve">2.3   </w:t>
      </w:r>
      <w:r>
        <w:rPr>
          <w:rFonts w:hint="eastAsia" w:ascii="宋体" w:hAnsi="宋体" w:cs="宋体"/>
          <w:b/>
          <w:bCs/>
          <w:color w:val="000000"/>
          <w:szCs w:val="21"/>
        </w:rPr>
        <w:tab/>
      </w:r>
      <w:r>
        <w:rPr>
          <w:rFonts w:hint="eastAsia" w:ascii="宋体" w:hAnsi="宋体" w:cs="宋体"/>
          <w:b/>
          <w:bCs/>
          <w:color w:val="000000"/>
          <w:szCs w:val="21"/>
        </w:rPr>
        <w:t>保险金额</w:t>
      </w:r>
    </w:p>
    <w:p>
      <w:pPr>
        <w:adjustRightInd w:val="0"/>
        <w:snapToGrid w:val="0"/>
        <w:ind w:left="945" w:leftChars="450" w:firstLine="422" w:firstLineChars="200"/>
        <w:rPr>
          <w:rFonts w:ascii="宋体" w:hAnsi="宋体"/>
          <w:b/>
          <w:szCs w:val="21"/>
        </w:rPr>
      </w:pPr>
      <w:r>
        <w:rPr>
          <w:rFonts w:hint="eastAsia" w:ascii="宋体" w:hAnsi="宋体"/>
          <w:b/>
          <w:szCs w:val="21"/>
        </w:rPr>
        <w:t>每一被保险人的保险金额是保险人承担给付该被保险人保险金责任的最高限额。</w:t>
      </w:r>
    </w:p>
    <w:p>
      <w:pPr>
        <w:adjustRightInd w:val="0"/>
        <w:snapToGrid w:val="0"/>
        <w:ind w:left="945" w:leftChars="450" w:firstLine="420" w:firstLineChars="200"/>
        <w:rPr>
          <w:rFonts w:ascii="宋体" w:hAnsi="宋体"/>
          <w:szCs w:val="21"/>
        </w:rPr>
      </w:pPr>
      <w:r>
        <w:rPr>
          <w:rFonts w:hint="eastAsia" w:ascii="宋体" w:hAnsi="宋体"/>
          <w:szCs w:val="21"/>
        </w:rPr>
        <w:t>保险金额由投保人和保险人双方约定，并在保险单中载明。</w:t>
      </w:r>
    </w:p>
    <w:p>
      <w:pPr>
        <w:adjustRightInd w:val="0"/>
        <w:snapToGrid w:val="0"/>
        <w:ind w:left="945" w:leftChars="450" w:firstLine="422" w:firstLineChars="200"/>
        <w:rPr>
          <w:rFonts w:ascii="宋体" w:hAnsi="宋体"/>
          <w:b/>
          <w:szCs w:val="21"/>
        </w:rPr>
      </w:pPr>
      <w:r>
        <w:rPr>
          <w:rFonts w:hint="eastAsia" w:ascii="宋体" w:hAnsi="宋体"/>
          <w:b/>
          <w:szCs w:val="21"/>
        </w:rPr>
        <w:t>每一被保险人的保险金额一经确定，在保险期间内不得变更。</w:t>
      </w:r>
    </w:p>
    <w:p>
      <w:pPr>
        <w:keepNext/>
        <w:keepLines/>
        <w:tabs>
          <w:tab w:val="left" w:pos="993"/>
        </w:tabs>
        <w:outlineLvl w:val="0"/>
        <w:rPr>
          <w:rFonts w:ascii="宋体" w:hAnsi="宋体" w:cs="宋体"/>
          <w:b/>
          <w:bCs/>
          <w:color w:val="000000"/>
          <w:kern w:val="44"/>
          <w:szCs w:val="21"/>
        </w:rPr>
      </w:pPr>
      <w:r>
        <w:rPr>
          <w:rFonts w:hint="eastAsia" w:ascii="宋体" w:hAnsi="宋体" w:cs="宋体"/>
          <w:b/>
          <w:bCs/>
          <w:color w:val="000000"/>
          <w:kern w:val="44"/>
          <w:szCs w:val="21"/>
        </w:rPr>
        <w:t>3</w:t>
      </w:r>
      <w:r>
        <w:rPr>
          <w:rFonts w:hint="eastAsia" w:ascii="宋体" w:hAnsi="宋体" w:cs="宋体"/>
          <w:b/>
          <w:bCs/>
          <w:color w:val="000000"/>
          <w:kern w:val="44"/>
          <w:szCs w:val="21"/>
        </w:rPr>
        <w:tab/>
      </w:r>
      <w:r>
        <w:rPr>
          <w:rFonts w:hint="eastAsia" w:ascii="宋体" w:hAnsi="宋体" w:cs="宋体"/>
          <w:b/>
          <w:bCs/>
          <w:color w:val="000000"/>
          <w:kern w:val="44"/>
          <w:szCs w:val="21"/>
        </w:rPr>
        <w:t>保险金申请</w:t>
      </w:r>
    </w:p>
    <w:p>
      <w:pPr>
        <w:pStyle w:val="24"/>
        <w:ind w:left="945" w:leftChars="450" w:firstLine="422"/>
        <w:rPr>
          <w:rFonts w:ascii="宋体" w:hAnsi="宋体"/>
          <w:b/>
          <w:szCs w:val="21"/>
        </w:rPr>
      </w:pPr>
      <w:r>
        <w:rPr>
          <w:rFonts w:hint="eastAsia" w:ascii="宋体" w:hAnsi="宋体"/>
          <w:b/>
          <w:szCs w:val="21"/>
        </w:rPr>
        <w:t>保险金申请人（见</w:t>
      </w:r>
      <w:r>
        <w:rPr>
          <w:rFonts w:ascii="宋体" w:hAnsi="宋体"/>
          <w:b/>
          <w:szCs w:val="21"/>
        </w:rPr>
        <w:t>释义</w:t>
      </w:r>
      <w:r>
        <w:rPr>
          <w:rFonts w:hint="eastAsia" w:ascii="宋体" w:hAnsi="宋体"/>
          <w:b/>
          <w:szCs w:val="21"/>
        </w:rPr>
        <w:t>）</w:t>
      </w:r>
      <w:r>
        <w:rPr>
          <w:rFonts w:hint="eastAsia" w:ascii="宋体" w:hAnsi="宋体"/>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附加险合同的约定，认为有关的证明和资料不完整的，应当及时一次性通知保险金申请人补充提供。</w:t>
      </w:r>
      <w:r>
        <w:rPr>
          <w:rFonts w:hint="eastAsia" w:ascii="宋体" w:hAnsi="宋体"/>
          <w:b/>
          <w:szCs w:val="21"/>
        </w:rPr>
        <w:t>保险金申请人未能提供有关材料，导致保险人无法核实该申请的真实性的，保险人对无法核实部分不承担给付保险金的责任。</w:t>
      </w:r>
    </w:p>
    <w:p>
      <w:pPr>
        <w:pStyle w:val="24"/>
        <w:numPr>
          <w:ilvl w:val="0"/>
          <w:numId w:val="2"/>
        </w:numPr>
        <w:ind w:left="2045" w:leftChars="650" w:hanging="680" w:firstLineChars="0"/>
        <w:rPr>
          <w:rFonts w:ascii="宋体" w:hAnsi="宋体"/>
          <w:szCs w:val="21"/>
        </w:rPr>
      </w:pPr>
      <w:r>
        <w:rPr>
          <w:rFonts w:hint="eastAsia" w:ascii="宋体" w:hAnsi="宋体"/>
          <w:szCs w:val="21"/>
        </w:rPr>
        <w:t>保险金给付申请书；</w:t>
      </w:r>
    </w:p>
    <w:p>
      <w:pPr>
        <w:pStyle w:val="24"/>
        <w:numPr>
          <w:ilvl w:val="0"/>
          <w:numId w:val="2"/>
        </w:numPr>
        <w:ind w:left="2045" w:leftChars="650" w:hanging="680" w:firstLineChars="0"/>
        <w:rPr>
          <w:rFonts w:ascii="宋体" w:hAnsi="宋体"/>
          <w:szCs w:val="21"/>
        </w:rPr>
      </w:pPr>
      <w:r>
        <w:rPr>
          <w:rFonts w:hint="eastAsia" w:ascii="宋体" w:hAnsi="宋体"/>
          <w:szCs w:val="21"/>
        </w:rPr>
        <w:t>保险单；</w:t>
      </w:r>
    </w:p>
    <w:p>
      <w:pPr>
        <w:pStyle w:val="24"/>
        <w:numPr>
          <w:ilvl w:val="0"/>
          <w:numId w:val="2"/>
        </w:numPr>
        <w:ind w:left="2045" w:leftChars="650" w:hanging="680" w:firstLineChars="0"/>
        <w:rPr>
          <w:rFonts w:ascii="宋体" w:hAnsi="宋体"/>
          <w:szCs w:val="21"/>
        </w:rPr>
      </w:pPr>
      <w:r>
        <w:rPr>
          <w:rFonts w:hint="eastAsia" w:ascii="宋体" w:hAnsi="宋体"/>
          <w:szCs w:val="21"/>
        </w:rPr>
        <w:t>保险金申请人、</w:t>
      </w:r>
      <w:r>
        <w:rPr>
          <w:rFonts w:ascii="宋体" w:hAnsi="宋体"/>
          <w:szCs w:val="21"/>
        </w:rPr>
        <w:t>被保险人</w:t>
      </w:r>
      <w:r>
        <w:rPr>
          <w:rFonts w:hint="eastAsia" w:ascii="宋体" w:hAnsi="宋体"/>
          <w:szCs w:val="21"/>
        </w:rPr>
        <w:t>的身份证明；</w:t>
      </w:r>
    </w:p>
    <w:p>
      <w:pPr>
        <w:pStyle w:val="24"/>
        <w:numPr>
          <w:ilvl w:val="0"/>
          <w:numId w:val="2"/>
        </w:numPr>
        <w:ind w:left="2045" w:leftChars="650" w:hanging="680" w:firstLineChars="0"/>
        <w:rPr>
          <w:rFonts w:ascii="宋体" w:hAnsi="宋体"/>
          <w:szCs w:val="21"/>
        </w:rPr>
      </w:pPr>
      <w:r>
        <w:rPr>
          <w:rFonts w:ascii="宋体" w:hAnsi="宋体"/>
          <w:szCs w:val="21"/>
        </w:rPr>
        <w:t>二级</w:t>
      </w:r>
      <w:r>
        <w:rPr>
          <w:rFonts w:hint="eastAsia" w:ascii="宋体" w:hAnsi="宋体"/>
          <w:szCs w:val="21"/>
        </w:rPr>
        <w:t>（含）及</w:t>
      </w:r>
      <w:r>
        <w:rPr>
          <w:rFonts w:ascii="宋体" w:hAnsi="宋体"/>
          <w:szCs w:val="21"/>
        </w:rPr>
        <w:t>以上医院或保险人认可的医疗机构出具的诊断证明、病历；</w:t>
      </w:r>
    </w:p>
    <w:p>
      <w:pPr>
        <w:pStyle w:val="24"/>
        <w:numPr>
          <w:ilvl w:val="0"/>
          <w:numId w:val="2"/>
        </w:numPr>
        <w:ind w:left="2045" w:leftChars="650" w:hanging="680" w:firstLineChars="0"/>
        <w:rPr>
          <w:rFonts w:ascii="宋体" w:hAnsi="宋体"/>
          <w:szCs w:val="21"/>
        </w:rPr>
      </w:pPr>
      <w:r>
        <w:rPr>
          <w:rFonts w:ascii="宋体" w:hAnsi="宋体"/>
          <w:szCs w:val="21"/>
        </w:rPr>
        <w:t>公安部门或医疗机构出具的被保险人死亡证明书或验尸报告；</w:t>
      </w:r>
    </w:p>
    <w:p>
      <w:pPr>
        <w:pStyle w:val="24"/>
        <w:numPr>
          <w:ilvl w:val="0"/>
          <w:numId w:val="2"/>
        </w:numPr>
        <w:ind w:left="2045" w:leftChars="650" w:hanging="680" w:firstLineChars="0"/>
        <w:rPr>
          <w:rFonts w:ascii="宋体" w:hAnsi="宋体"/>
          <w:szCs w:val="21"/>
        </w:rPr>
      </w:pPr>
      <w:r>
        <w:rPr>
          <w:rFonts w:hint="eastAsia" w:ascii="宋体" w:hAnsi="宋体"/>
          <w:szCs w:val="21"/>
        </w:rPr>
        <w:t>保险金申请人所能提供的与确认保险事故的性质、原因、损失程度等有关的其他证明和资料。</w:t>
      </w:r>
    </w:p>
    <w:p>
      <w:pPr>
        <w:keepNext/>
        <w:keepLines/>
        <w:tabs>
          <w:tab w:val="left" w:pos="993"/>
        </w:tabs>
        <w:outlineLvl w:val="0"/>
        <w:rPr>
          <w:rFonts w:ascii="宋体" w:hAnsi="宋体" w:cs="宋体"/>
          <w:b/>
          <w:bCs/>
          <w:color w:val="000000"/>
          <w:kern w:val="44"/>
          <w:szCs w:val="21"/>
        </w:rPr>
      </w:pPr>
      <w:r>
        <w:rPr>
          <w:rFonts w:hint="eastAsia" w:ascii="宋体" w:hAnsi="宋体" w:cs="宋体"/>
          <w:b/>
          <w:bCs/>
          <w:color w:val="000000"/>
          <w:kern w:val="44"/>
          <w:szCs w:val="21"/>
        </w:rPr>
        <w:t>4</w:t>
      </w:r>
      <w:r>
        <w:rPr>
          <w:rFonts w:hint="eastAsia" w:ascii="宋体" w:hAnsi="宋体" w:cs="宋体"/>
          <w:b/>
          <w:bCs/>
          <w:color w:val="000000"/>
          <w:kern w:val="44"/>
          <w:szCs w:val="21"/>
        </w:rPr>
        <w:tab/>
      </w:r>
      <w:r>
        <w:rPr>
          <w:rFonts w:hint="eastAsia" w:ascii="宋体" w:hAnsi="宋体" w:cs="宋体"/>
          <w:b/>
          <w:bCs/>
          <w:color w:val="000000"/>
          <w:kern w:val="44"/>
          <w:szCs w:val="21"/>
        </w:rPr>
        <w:t>释义</w:t>
      </w:r>
    </w:p>
    <w:p>
      <w:pPr>
        <w:keepNext/>
        <w:keepLines/>
        <w:tabs>
          <w:tab w:val="left" w:pos="993"/>
        </w:tabs>
        <w:outlineLvl w:val="1"/>
        <w:rPr>
          <w:rFonts w:ascii="宋体" w:hAnsi="宋体" w:cs="宋体"/>
          <w:b/>
          <w:bCs/>
          <w:color w:val="000000"/>
          <w:szCs w:val="21"/>
        </w:rPr>
      </w:pPr>
      <w:r>
        <w:rPr>
          <w:rFonts w:hint="eastAsia" w:ascii="宋体" w:hAnsi="宋体" w:cs="宋体"/>
          <w:b/>
          <w:bCs/>
          <w:color w:val="000000"/>
          <w:szCs w:val="21"/>
        </w:rPr>
        <w:t>4.1</w:t>
      </w:r>
      <w:r>
        <w:rPr>
          <w:rFonts w:hint="eastAsia" w:ascii="宋体" w:hAnsi="宋体" w:cs="宋体"/>
          <w:b/>
          <w:bCs/>
          <w:color w:val="000000"/>
          <w:szCs w:val="21"/>
        </w:rPr>
        <w:tab/>
      </w:r>
      <w:r>
        <w:rPr>
          <w:rFonts w:hint="eastAsia" w:ascii="宋体" w:hAnsi="宋体" w:cs="宋体"/>
          <w:b/>
          <w:bCs/>
          <w:color w:val="000000"/>
          <w:szCs w:val="21"/>
        </w:rPr>
        <w:t>获得被保资格</w:t>
      </w:r>
    </w:p>
    <w:p>
      <w:pPr>
        <w:adjustRightInd w:val="0"/>
        <w:snapToGrid w:val="0"/>
        <w:ind w:left="945" w:leftChars="450" w:firstLine="420" w:firstLineChars="200"/>
        <w:rPr>
          <w:rFonts w:ascii="宋体" w:hAnsi="宋体"/>
          <w:szCs w:val="21"/>
        </w:rPr>
      </w:pPr>
      <w:r>
        <w:rPr>
          <w:rFonts w:hint="eastAsia" w:ascii="宋体" w:hAnsi="宋体"/>
          <w:szCs w:val="21"/>
        </w:rPr>
        <w:t>无论本附加险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20" w:firstLineChars="200"/>
        <w:rPr>
          <w:rFonts w:ascii="宋体" w:hAnsi="宋体"/>
          <w:b/>
          <w:szCs w:val="21"/>
        </w:rPr>
      </w:pPr>
      <w:r>
        <w:rPr>
          <w:rFonts w:hint="eastAsia" w:ascii="宋体" w:hAnsi="宋体"/>
          <w:szCs w:val="21"/>
        </w:rPr>
        <w:t>被保险人因非保险事故身故的，</w:t>
      </w:r>
      <w:r>
        <w:rPr>
          <w:rFonts w:hint="eastAsia" w:ascii="宋体" w:hAnsi="宋体"/>
          <w:b/>
          <w:szCs w:val="21"/>
        </w:rPr>
        <w:t>则自其身故之日起该被保险人的被保资格丧失，保险人对该被保险人所承担的保险责任随即终止。</w:t>
      </w:r>
    </w:p>
    <w:p>
      <w:pPr>
        <w:adjustRightInd w:val="0"/>
        <w:snapToGrid w:val="0"/>
        <w:ind w:left="945" w:leftChars="450" w:firstLine="420" w:firstLineChars="200"/>
        <w:rPr>
          <w:rFonts w:ascii="宋体" w:hAnsi="宋体"/>
          <w:b/>
          <w:szCs w:val="21"/>
        </w:rPr>
      </w:pPr>
      <w:r>
        <w:rPr>
          <w:rFonts w:hint="eastAsia" w:ascii="宋体" w:hAnsi="宋体"/>
          <w:szCs w:val="21"/>
        </w:rPr>
        <w:t>本附加险合同保险期间终止，</w:t>
      </w:r>
      <w:r>
        <w:rPr>
          <w:rFonts w:hint="eastAsia" w:ascii="宋体" w:hAnsi="宋体"/>
          <w:b/>
          <w:szCs w:val="21"/>
        </w:rPr>
        <w:t>则被保险人的被保资格终止，保险人对被保险人所承担的保险责任随即终止。</w:t>
      </w:r>
    </w:p>
    <w:p>
      <w:pPr>
        <w:adjustRightInd w:val="0"/>
        <w:snapToGrid w:val="0"/>
        <w:ind w:left="945" w:leftChars="450" w:firstLine="420" w:firstLineChars="200"/>
        <w:rPr>
          <w:rFonts w:ascii="宋体" w:hAnsi="宋体"/>
          <w:b/>
          <w:szCs w:val="21"/>
        </w:rPr>
      </w:pPr>
      <w:r>
        <w:rPr>
          <w:rFonts w:hint="eastAsia" w:ascii="宋体" w:hAnsi="宋体"/>
          <w:szCs w:val="21"/>
        </w:rPr>
        <w:t>本附加险合同解除，</w:t>
      </w:r>
      <w:r>
        <w:rPr>
          <w:rFonts w:hint="eastAsia" w:ascii="宋体" w:hAnsi="宋体"/>
          <w:b/>
          <w:szCs w:val="21"/>
        </w:rPr>
        <w:t>则自解除之日起被保险人的被保资格终止，保险人对被保险人所承担的保险责任随即终止。</w:t>
      </w:r>
    </w:p>
    <w:p>
      <w:pPr>
        <w:keepNext/>
        <w:keepLines/>
        <w:tabs>
          <w:tab w:val="left" w:pos="993"/>
        </w:tabs>
        <w:outlineLvl w:val="1"/>
        <w:rPr>
          <w:rFonts w:ascii="宋体" w:hAnsi="宋体" w:cs="宋体"/>
          <w:b/>
          <w:bCs/>
          <w:color w:val="000000"/>
          <w:szCs w:val="21"/>
        </w:rPr>
      </w:pPr>
      <w:r>
        <w:rPr>
          <w:rFonts w:hint="eastAsia" w:ascii="宋体" w:hAnsi="宋体" w:cs="宋体"/>
          <w:b/>
          <w:bCs/>
          <w:color w:val="000000"/>
          <w:szCs w:val="21"/>
        </w:rPr>
        <w:t>4.</w:t>
      </w:r>
      <w:r>
        <w:rPr>
          <w:rFonts w:ascii="宋体" w:hAnsi="宋体" w:cs="宋体"/>
          <w:b/>
          <w:bCs/>
          <w:color w:val="000000"/>
          <w:szCs w:val="21"/>
        </w:rPr>
        <w:t>2</w:t>
      </w:r>
      <w:r>
        <w:rPr>
          <w:rFonts w:hint="eastAsia" w:ascii="宋体" w:hAnsi="宋体" w:cs="宋体"/>
          <w:b/>
          <w:bCs/>
          <w:color w:val="000000"/>
          <w:szCs w:val="21"/>
        </w:rPr>
        <w:tab/>
      </w:r>
      <w:r>
        <w:rPr>
          <w:rFonts w:hint="eastAsia" w:ascii="宋体" w:hAnsi="宋体" w:cs="宋体"/>
          <w:b/>
          <w:bCs/>
          <w:color w:val="000000"/>
          <w:szCs w:val="21"/>
        </w:rPr>
        <w:t>急性病</w:t>
      </w:r>
    </w:p>
    <w:p>
      <w:pPr>
        <w:pStyle w:val="44"/>
        <w:adjustRightInd w:val="0"/>
        <w:snapToGrid w:val="0"/>
        <w:ind w:left="945" w:leftChars="450"/>
      </w:pPr>
      <w:r>
        <w:rPr>
          <w:rFonts w:hint="eastAsia" w:ascii="宋体" w:hAnsi="宋体"/>
          <w:szCs w:val="21"/>
        </w:rPr>
        <w:t>指被保险人突然发生、不及时救治将危及生命安危的急性疾病。</w:t>
      </w:r>
    </w:p>
    <w:p>
      <w:pPr>
        <w:keepNext/>
        <w:keepLines/>
        <w:tabs>
          <w:tab w:val="left" w:pos="993"/>
        </w:tabs>
        <w:outlineLvl w:val="1"/>
        <w:rPr>
          <w:rFonts w:ascii="宋体" w:hAnsi="宋体" w:cs="宋体"/>
          <w:b/>
          <w:bCs/>
          <w:color w:val="000000"/>
          <w:szCs w:val="21"/>
        </w:rPr>
      </w:pPr>
      <w:bookmarkStart w:id="0" w:name="_4.8_保险金申请人"/>
      <w:bookmarkEnd w:id="0"/>
      <w:bookmarkStart w:id="1" w:name="_4.7_无有效行驶证"/>
      <w:bookmarkEnd w:id="1"/>
      <w:bookmarkStart w:id="2" w:name="_4.6_无有效驾驶证"/>
      <w:bookmarkEnd w:id="2"/>
      <w:bookmarkStart w:id="3" w:name="_9.3_重大疾病"/>
      <w:bookmarkEnd w:id="3"/>
      <w:r>
        <w:rPr>
          <w:rFonts w:ascii="宋体" w:hAnsi="宋体" w:cs="宋体"/>
          <w:b/>
          <w:bCs/>
          <w:color w:val="000000"/>
          <w:szCs w:val="21"/>
        </w:rPr>
        <w:fldChar w:fldCharType="begin"/>
      </w:r>
      <w:r>
        <w:rPr>
          <w:rFonts w:ascii="宋体" w:hAnsi="宋体" w:cs="宋体"/>
          <w:b/>
          <w:bCs/>
          <w:color w:val="000000"/>
          <w:szCs w:val="21"/>
        </w:rPr>
        <w:instrText xml:space="preserve"> HYPERLINK  \l "_2.2.1_因下列情形造成被保险人住院治疗的，保险人不承担给付保险金的" </w:instrText>
      </w:r>
      <w:r>
        <w:rPr>
          <w:rFonts w:ascii="宋体" w:hAnsi="宋体" w:cs="宋体"/>
          <w:b/>
          <w:bCs/>
          <w:color w:val="000000"/>
          <w:szCs w:val="21"/>
        </w:rPr>
        <w:fldChar w:fldCharType="separate"/>
      </w:r>
      <w:r>
        <w:rPr>
          <w:rFonts w:ascii="宋体" w:hAnsi="宋体" w:cs="宋体"/>
          <w:b/>
          <w:bCs/>
          <w:color w:val="000000"/>
          <w:szCs w:val="21"/>
        </w:rPr>
        <w:t>4.3</w:t>
      </w:r>
      <w:r>
        <w:rPr>
          <w:rFonts w:hint="eastAsia" w:ascii="宋体" w:hAnsi="宋体" w:cs="宋体"/>
          <w:b/>
          <w:bCs/>
          <w:color w:val="000000"/>
          <w:szCs w:val="21"/>
        </w:rPr>
        <w:tab/>
      </w:r>
      <w:r>
        <w:rPr>
          <w:rFonts w:hint="eastAsia" w:ascii="宋体" w:hAnsi="宋体" w:cs="宋体"/>
          <w:b/>
          <w:bCs/>
          <w:color w:val="000000"/>
          <w:szCs w:val="21"/>
        </w:rPr>
        <w:t>感染艾滋病病毒或患艾滋病</w:t>
      </w:r>
      <w:r>
        <w:rPr>
          <w:rFonts w:ascii="宋体" w:hAnsi="宋体" w:cs="宋体"/>
          <w:b/>
          <w:bCs/>
          <w:color w:val="000000"/>
          <w:szCs w:val="21"/>
        </w:rPr>
        <w:fldChar w:fldCharType="end"/>
      </w:r>
    </w:p>
    <w:p>
      <w:pPr>
        <w:adjustRightInd w:val="0"/>
        <w:snapToGrid w:val="0"/>
        <w:ind w:left="945" w:leftChars="450" w:firstLine="420" w:firstLineChars="200"/>
        <w:rPr>
          <w:rFonts w:ascii="宋体" w:hAnsi="宋体"/>
          <w:szCs w:val="21"/>
        </w:rPr>
      </w:pPr>
      <w:r>
        <w:rPr>
          <w:rFonts w:ascii="宋体" w:hAnsi="宋体"/>
          <w:szCs w:val="21"/>
        </w:rPr>
        <w:t>艾滋病病毒指人类免疫缺陷病毒，英文缩写为HIV。艾滋病指人类免疫缺陷病毒引起的获得性免疫缺陷综合征，英文缩写为AIDS。</w:t>
      </w:r>
    </w:p>
    <w:p>
      <w:pPr>
        <w:adjustRightInd w:val="0"/>
        <w:snapToGrid w:val="0"/>
        <w:ind w:left="945" w:leftChars="450" w:firstLine="420" w:firstLineChars="200"/>
        <w:rPr>
          <w:rFonts w:ascii="宋体" w:hAnsi="宋体"/>
          <w:szCs w:val="21"/>
        </w:rPr>
      </w:pPr>
      <w:r>
        <w:rPr>
          <w:rFonts w:ascii="宋体" w:hAnsi="宋体"/>
          <w:szCs w:val="21"/>
        </w:rPr>
        <w:t>在人体血液或其它样本中检测到艾滋病病毒或其抗体呈阳性，没有出现临床症状或体征的，为感染艾滋病病毒；如果同时出现了明显临床症状或体征的，为患艾滋病</w:t>
      </w:r>
      <w:r>
        <w:rPr>
          <w:rFonts w:hint="eastAsia" w:ascii="宋体" w:hAnsi="宋体"/>
          <w:szCs w:val="21"/>
        </w:rPr>
        <w:t>。</w:t>
      </w:r>
    </w:p>
    <w:p>
      <w:pPr>
        <w:keepNext/>
        <w:keepLines/>
        <w:tabs>
          <w:tab w:val="left" w:pos="993"/>
        </w:tabs>
        <w:outlineLvl w:val="1"/>
        <w:rPr>
          <w:rFonts w:ascii="宋体" w:hAnsi="宋体" w:cs="宋体"/>
          <w:b/>
          <w:bCs/>
          <w:color w:val="000000"/>
          <w:szCs w:val="21"/>
        </w:rPr>
      </w:pPr>
      <w:bookmarkStart w:id="4" w:name="_4.6_遗传性疾病"/>
      <w:bookmarkEnd w:id="4"/>
      <w:r>
        <w:rPr>
          <w:rFonts w:ascii="宋体" w:hAnsi="宋体" w:cs="宋体"/>
          <w:b/>
          <w:bCs/>
          <w:color w:val="000000"/>
          <w:szCs w:val="21"/>
        </w:rPr>
        <w:fldChar w:fldCharType="begin"/>
      </w:r>
      <w:r>
        <w:rPr>
          <w:rFonts w:ascii="宋体" w:hAnsi="宋体" w:cs="宋体"/>
          <w:b/>
          <w:bCs/>
          <w:color w:val="000000"/>
          <w:szCs w:val="21"/>
        </w:rPr>
        <w:instrText xml:space="preserve"> HYPERLINK  \l "_2.2.1_因下列情形造成被保险人住院治疗的，保险人不承担给付保险金的" </w:instrText>
      </w:r>
      <w:r>
        <w:rPr>
          <w:rFonts w:ascii="宋体" w:hAnsi="宋体" w:cs="宋体"/>
          <w:b/>
          <w:bCs/>
          <w:color w:val="000000"/>
          <w:szCs w:val="21"/>
        </w:rPr>
        <w:fldChar w:fldCharType="separate"/>
      </w:r>
      <w:r>
        <w:rPr>
          <w:rFonts w:ascii="宋体" w:hAnsi="宋体" w:cs="宋体"/>
          <w:b/>
          <w:bCs/>
          <w:color w:val="000000"/>
          <w:szCs w:val="21"/>
        </w:rPr>
        <w:t>4.4</w:t>
      </w:r>
      <w:r>
        <w:rPr>
          <w:rFonts w:hint="eastAsia" w:ascii="宋体" w:hAnsi="宋体" w:cs="宋体"/>
          <w:b/>
          <w:bCs/>
          <w:color w:val="000000"/>
          <w:szCs w:val="21"/>
        </w:rPr>
        <w:tab/>
      </w:r>
      <w:r>
        <w:rPr>
          <w:rFonts w:ascii="宋体" w:hAnsi="宋体" w:cs="宋体"/>
          <w:b/>
          <w:bCs/>
          <w:color w:val="000000"/>
          <w:szCs w:val="21"/>
        </w:rPr>
        <w:t>遗传性疾病</w:t>
      </w:r>
      <w:r>
        <w:rPr>
          <w:rFonts w:ascii="宋体" w:hAnsi="宋体" w:cs="宋体"/>
          <w:b/>
          <w:bCs/>
          <w:color w:val="000000"/>
          <w:szCs w:val="21"/>
        </w:rPr>
        <w:fldChar w:fldCharType="end"/>
      </w:r>
    </w:p>
    <w:p>
      <w:pPr>
        <w:adjustRightInd w:val="0"/>
        <w:snapToGrid w:val="0"/>
        <w:ind w:left="945" w:leftChars="450" w:firstLine="420" w:firstLineChars="200"/>
        <w:rPr>
          <w:rFonts w:ascii="宋体" w:hAnsi="宋体"/>
          <w:szCs w:val="21"/>
        </w:rPr>
      </w:pPr>
      <w:r>
        <w:rPr>
          <w:rFonts w:ascii="宋体" w:hAnsi="宋体"/>
          <w:szCs w:val="21"/>
        </w:rPr>
        <w:t>指生殖细胞或受精卵的遗传物质（染色体和基因）发生突变或畸变所引起的疾病，通常具有由亲代传至后代的垂直传递的特征</w:t>
      </w:r>
      <w:r>
        <w:rPr>
          <w:rFonts w:hint="eastAsia" w:ascii="宋体" w:hAnsi="宋体"/>
          <w:szCs w:val="21"/>
        </w:rPr>
        <w:t>。</w:t>
      </w:r>
    </w:p>
    <w:p>
      <w:pPr>
        <w:keepNext/>
        <w:keepLines/>
        <w:tabs>
          <w:tab w:val="left" w:pos="993"/>
        </w:tabs>
        <w:outlineLvl w:val="1"/>
        <w:rPr>
          <w:rFonts w:ascii="宋体" w:hAnsi="宋体" w:cs="宋体"/>
          <w:b/>
          <w:bCs/>
          <w:color w:val="000000"/>
          <w:szCs w:val="21"/>
        </w:rPr>
      </w:pPr>
      <w:bookmarkStart w:id="5" w:name="_4.7_先天性畸形、变形或染色体异常"/>
      <w:bookmarkEnd w:id="5"/>
      <w:r>
        <w:rPr>
          <w:rFonts w:ascii="宋体" w:hAnsi="宋体" w:cs="宋体"/>
          <w:b/>
          <w:bCs/>
          <w:color w:val="000000"/>
          <w:szCs w:val="21"/>
        </w:rPr>
        <w:fldChar w:fldCharType="begin"/>
      </w:r>
      <w:r>
        <w:rPr>
          <w:rFonts w:ascii="宋体" w:hAnsi="宋体" w:cs="宋体"/>
          <w:b/>
          <w:bCs/>
          <w:color w:val="000000"/>
          <w:szCs w:val="21"/>
        </w:rPr>
        <w:instrText xml:space="preserve"> HYPERLINK  \l "_2.2.1_因下列情形造成被保险人住院治疗的，保险人不承担给付保险金的" </w:instrText>
      </w:r>
      <w:r>
        <w:rPr>
          <w:rFonts w:ascii="宋体" w:hAnsi="宋体" w:cs="宋体"/>
          <w:b/>
          <w:bCs/>
          <w:color w:val="000000"/>
          <w:szCs w:val="21"/>
        </w:rPr>
        <w:fldChar w:fldCharType="separate"/>
      </w:r>
      <w:r>
        <w:rPr>
          <w:rFonts w:ascii="宋体" w:hAnsi="宋体" w:cs="宋体"/>
          <w:b/>
          <w:bCs/>
          <w:color w:val="000000"/>
          <w:szCs w:val="21"/>
        </w:rPr>
        <w:t>4.5</w:t>
      </w:r>
      <w:r>
        <w:rPr>
          <w:rFonts w:hint="eastAsia" w:ascii="宋体" w:hAnsi="宋体" w:cs="宋体"/>
          <w:b/>
          <w:bCs/>
          <w:color w:val="000000"/>
          <w:szCs w:val="21"/>
        </w:rPr>
        <w:tab/>
      </w:r>
      <w:r>
        <w:rPr>
          <w:rFonts w:ascii="宋体" w:hAnsi="宋体" w:cs="宋体"/>
          <w:b/>
          <w:bCs/>
          <w:color w:val="000000"/>
          <w:szCs w:val="21"/>
        </w:rPr>
        <w:t>先天性畸形、变形或染色体异常</w:t>
      </w:r>
      <w:r>
        <w:rPr>
          <w:rFonts w:ascii="宋体" w:hAnsi="宋体" w:cs="宋体"/>
          <w:b/>
          <w:bCs/>
          <w:color w:val="000000"/>
          <w:szCs w:val="21"/>
        </w:rPr>
        <w:fldChar w:fldCharType="end"/>
      </w:r>
    </w:p>
    <w:p>
      <w:pPr>
        <w:adjustRightInd w:val="0"/>
        <w:snapToGrid w:val="0"/>
        <w:ind w:left="945" w:leftChars="450" w:firstLine="420" w:firstLineChars="200"/>
        <w:rPr>
          <w:rFonts w:ascii="宋体" w:hAnsi="宋体"/>
          <w:szCs w:val="21"/>
        </w:rPr>
      </w:pPr>
      <w:r>
        <w:rPr>
          <w:rFonts w:ascii="宋体" w:hAnsi="宋体"/>
          <w:szCs w:val="21"/>
        </w:rPr>
        <w:t>指被保险人出生时就具有的畸形、变形或染色体异常。先天性畸形、变形和染色体异常依照世界卫生组织《疾病和有关健康问题的国际统计分类》（ICD-10）确定。</w:t>
      </w:r>
      <w:bookmarkStart w:id="6" w:name="_4.15_既往症"/>
      <w:bookmarkEnd w:id="6"/>
    </w:p>
    <w:p>
      <w:pPr>
        <w:keepNext/>
        <w:keepLines/>
        <w:tabs>
          <w:tab w:val="left" w:pos="993"/>
        </w:tabs>
        <w:outlineLvl w:val="1"/>
        <w:rPr>
          <w:rFonts w:ascii="宋体" w:hAnsi="宋体" w:cs="宋体"/>
          <w:b/>
          <w:bCs/>
          <w:color w:val="000000"/>
          <w:szCs w:val="21"/>
        </w:rPr>
      </w:pPr>
      <w:r>
        <w:fldChar w:fldCharType="begin"/>
      </w:r>
      <w:r>
        <w:instrText xml:space="preserve"> HYPERLINK \l "_2.2.1_因下列情形造成被保险人住院治疗的，保险人不承担给付保险金的" </w:instrText>
      </w:r>
      <w:r>
        <w:fldChar w:fldCharType="separate"/>
      </w:r>
      <w:r>
        <w:rPr>
          <w:rFonts w:ascii="宋体" w:hAnsi="宋体" w:cs="宋体"/>
          <w:b/>
          <w:bCs/>
          <w:color w:val="000000"/>
          <w:szCs w:val="21"/>
        </w:rPr>
        <w:t>4.6</w:t>
      </w:r>
      <w:r>
        <w:rPr>
          <w:rFonts w:hint="eastAsia" w:ascii="宋体" w:hAnsi="宋体" w:cs="宋体"/>
          <w:b/>
          <w:bCs/>
          <w:color w:val="000000"/>
          <w:szCs w:val="21"/>
        </w:rPr>
        <w:tab/>
      </w:r>
      <w:r>
        <w:rPr>
          <w:rFonts w:hint="eastAsia" w:ascii="宋体" w:hAnsi="宋体" w:cs="宋体"/>
          <w:b/>
          <w:bCs/>
          <w:color w:val="000000"/>
          <w:szCs w:val="21"/>
        </w:rPr>
        <w:fldChar w:fldCharType="end"/>
      </w:r>
      <w:r>
        <w:rPr>
          <w:rFonts w:hint="eastAsia" w:ascii="宋体" w:hAnsi="宋体" w:cs="宋体"/>
          <w:b/>
          <w:bCs/>
          <w:color w:val="000000"/>
          <w:szCs w:val="21"/>
        </w:rPr>
        <w:t>法定传染病</w:t>
      </w:r>
    </w:p>
    <w:p>
      <w:pPr>
        <w:adjustRightInd w:val="0"/>
        <w:snapToGrid w:val="0"/>
        <w:ind w:left="945" w:leftChars="450" w:firstLine="420" w:firstLineChars="200"/>
        <w:rPr>
          <w:rFonts w:ascii="宋体" w:hAnsi="宋体"/>
          <w:szCs w:val="21"/>
        </w:rPr>
      </w:pPr>
      <w:r>
        <w:rPr>
          <w:rFonts w:hint="eastAsia" w:ascii="宋体" w:hAnsi="宋体"/>
          <w:szCs w:val="21"/>
        </w:rPr>
        <w:t>指《中华人民共和国传染病防治法》规定的甲、乙、丙类传染病，以及国务院卫生行政部门决定并予以公布的其他传染病。</w:t>
      </w:r>
    </w:p>
    <w:p>
      <w:pPr>
        <w:keepNext/>
        <w:keepLines/>
        <w:tabs>
          <w:tab w:val="left" w:pos="993"/>
        </w:tabs>
        <w:outlineLvl w:val="1"/>
        <w:rPr>
          <w:rFonts w:ascii="宋体" w:hAnsi="宋体" w:cs="宋体"/>
          <w:b/>
          <w:bCs/>
          <w:color w:val="FF0000"/>
          <w:szCs w:val="21"/>
        </w:rPr>
      </w:pPr>
      <w:r>
        <w:fldChar w:fldCharType="begin"/>
      </w:r>
      <w:r>
        <w:instrText xml:space="preserve"> HYPERLINK \l "_2.2.1_因下列情形造成被保险人住院治疗的，保险人不承担给付保险金的" </w:instrText>
      </w:r>
      <w:r>
        <w:fldChar w:fldCharType="separate"/>
      </w:r>
      <w:r>
        <w:rPr>
          <w:rFonts w:ascii="宋体" w:hAnsi="宋体" w:cs="宋体"/>
          <w:b/>
          <w:bCs/>
          <w:color w:val="000000"/>
          <w:szCs w:val="21"/>
        </w:rPr>
        <w:t>4.7</w:t>
      </w:r>
      <w:r>
        <w:rPr>
          <w:rFonts w:hint="eastAsia" w:ascii="宋体" w:hAnsi="宋体" w:cs="宋体"/>
          <w:b/>
          <w:bCs/>
          <w:color w:val="000000"/>
          <w:szCs w:val="21"/>
        </w:rPr>
        <w:tab/>
      </w:r>
      <w:r>
        <w:rPr>
          <w:rFonts w:hint="eastAsia" w:ascii="宋体" w:hAnsi="宋体" w:cs="宋体"/>
          <w:b/>
          <w:bCs/>
          <w:color w:val="000000"/>
          <w:szCs w:val="21"/>
        </w:rPr>
        <w:t>既往症</w:t>
      </w:r>
      <w:r>
        <w:rPr>
          <w:rFonts w:hint="eastAsia" w:ascii="宋体" w:hAnsi="宋体" w:cs="宋体"/>
          <w:b/>
          <w:bCs/>
          <w:color w:val="000000"/>
          <w:szCs w:val="21"/>
        </w:rPr>
        <w:fldChar w:fldCharType="end"/>
      </w:r>
    </w:p>
    <w:p>
      <w:pPr>
        <w:pStyle w:val="24"/>
        <w:ind w:left="945" w:leftChars="450"/>
        <w:rPr>
          <w:rFonts w:ascii="宋体" w:hAnsi="宋体"/>
          <w:b/>
          <w:szCs w:val="21"/>
        </w:rPr>
      </w:pPr>
      <w:r>
        <w:rPr>
          <w:rFonts w:hint="eastAsia" w:ascii="宋体" w:hAnsi="宋体"/>
          <w:szCs w:val="21"/>
        </w:rPr>
        <w:t>指被保险</w:t>
      </w:r>
      <w:r>
        <w:rPr>
          <w:rFonts w:ascii="宋体" w:hAnsi="宋体"/>
          <w:szCs w:val="21"/>
        </w:rPr>
        <w:t>人获得被保资格</w:t>
      </w:r>
      <w:r>
        <w:rPr>
          <w:rFonts w:hint="eastAsia" w:ascii="宋体" w:hAnsi="宋体"/>
          <w:szCs w:val="21"/>
        </w:rPr>
        <w:t>前罹患</w:t>
      </w:r>
      <w:r>
        <w:rPr>
          <w:rFonts w:ascii="宋体" w:hAnsi="宋体"/>
          <w:szCs w:val="21"/>
        </w:rPr>
        <w:t>的被保险人</w:t>
      </w:r>
      <w:r>
        <w:rPr>
          <w:rFonts w:hint="eastAsia" w:ascii="宋体" w:hAnsi="宋体"/>
          <w:szCs w:val="21"/>
        </w:rPr>
        <w:t>已知或应该知道的有关疾病或症状。</w:t>
      </w:r>
      <w:r>
        <w:rPr>
          <w:rFonts w:hint="eastAsia" w:ascii="宋体" w:hAnsi="宋体"/>
          <w:b/>
          <w:szCs w:val="21"/>
        </w:rPr>
        <w:t>包括但不限于：</w:t>
      </w:r>
    </w:p>
    <w:p>
      <w:pPr>
        <w:pStyle w:val="24"/>
        <w:numPr>
          <w:ilvl w:val="0"/>
          <w:numId w:val="3"/>
        </w:numPr>
        <w:ind w:left="2045" w:leftChars="650" w:hanging="680" w:firstLineChars="0"/>
        <w:rPr>
          <w:rFonts w:ascii="宋体" w:hAnsi="宋体"/>
          <w:b/>
          <w:szCs w:val="21"/>
        </w:rPr>
      </w:pPr>
      <w:r>
        <w:rPr>
          <w:rFonts w:hint="eastAsia" w:ascii="宋体" w:hAnsi="宋体"/>
          <w:b/>
          <w:szCs w:val="21"/>
        </w:rPr>
        <w:t>被保险人获得被保资格前，医生已有明确诊断，长期治疗未间断；</w:t>
      </w:r>
    </w:p>
    <w:p>
      <w:pPr>
        <w:pStyle w:val="24"/>
        <w:numPr>
          <w:ilvl w:val="0"/>
          <w:numId w:val="3"/>
        </w:numPr>
        <w:ind w:left="2045" w:leftChars="650" w:hanging="680" w:firstLineChars="0"/>
        <w:rPr>
          <w:rFonts w:ascii="宋体" w:hAnsi="宋体"/>
          <w:b/>
          <w:szCs w:val="21"/>
        </w:rPr>
      </w:pPr>
      <w:r>
        <w:rPr>
          <w:rFonts w:hint="eastAsia" w:ascii="宋体" w:hAnsi="宋体"/>
          <w:b/>
          <w:szCs w:val="21"/>
        </w:rPr>
        <w:t>被保险人获得被保资格前，医生已有明确诊断，治疗后症状未完全消失，有间断用药或</w:t>
      </w:r>
      <w:r>
        <w:rPr>
          <w:rFonts w:ascii="宋体" w:hAnsi="宋体"/>
          <w:b/>
          <w:szCs w:val="21"/>
        </w:rPr>
        <w:t>接受治疗的</w:t>
      </w:r>
      <w:r>
        <w:rPr>
          <w:rFonts w:hint="eastAsia" w:ascii="宋体" w:hAnsi="宋体"/>
          <w:b/>
          <w:szCs w:val="21"/>
        </w:rPr>
        <w:t>情况；</w:t>
      </w:r>
    </w:p>
    <w:p>
      <w:pPr>
        <w:pStyle w:val="24"/>
        <w:numPr>
          <w:ilvl w:val="0"/>
          <w:numId w:val="3"/>
        </w:numPr>
        <w:ind w:left="2045" w:leftChars="650" w:hanging="680" w:firstLineChars="0"/>
        <w:rPr>
          <w:rFonts w:ascii="宋体" w:hAnsi="宋体"/>
          <w:b/>
          <w:szCs w:val="21"/>
        </w:rPr>
      </w:pPr>
      <w:r>
        <w:rPr>
          <w:rFonts w:hint="eastAsia" w:ascii="宋体" w:hAnsi="宋体"/>
          <w:b/>
          <w:szCs w:val="21"/>
        </w:rPr>
        <w:t>被保险人获得被保资格前发生，未经医生诊断和治疗，但症状已经显现足以促使一般普通谨慎人士引起注意并寻求诊断、治疗或护理的病症。</w:t>
      </w:r>
    </w:p>
    <w:p>
      <w:pPr>
        <w:pStyle w:val="24"/>
        <w:ind w:left="945" w:leftChars="450" w:firstLine="422"/>
        <w:rPr>
          <w:rFonts w:ascii="宋体" w:hAnsi="宋体"/>
          <w:b/>
          <w:szCs w:val="21"/>
        </w:rPr>
      </w:pPr>
      <w:r>
        <w:rPr>
          <w:rFonts w:hint="eastAsia" w:ascii="宋体" w:hAnsi="宋体"/>
          <w:b/>
          <w:szCs w:val="21"/>
        </w:rPr>
        <w:t>投保人在投保时告知保险人，经保险人审核同意并在保险单中单独载明不属于既往症的疾病或病症，不属于本附加险合同约定的既往症。</w:t>
      </w:r>
    </w:p>
    <w:p>
      <w:pPr>
        <w:keepNext/>
        <w:keepLines/>
        <w:tabs>
          <w:tab w:val="left" w:pos="945"/>
        </w:tabs>
        <w:outlineLvl w:val="1"/>
        <w:rPr>
          <w:rFonts w:ascii="宋体" w:hAnsi="宋体" w:cs="宋体"/>
          <w:b/>
          <w:bCs/>
          <w:color w:val="FF0000"/>
          <w:szCs w:val="21"/>
        </w:rPr>
      </w:pPr>
      <w:r>
        <w:rPr>
          <w:rFonts w:ascii="宋体" w:hAnsi="宋体" w:cs="宋体"/>
          <w:b/>
          <w:bCs/>
          <w:szCs w:val="21"/>
        </w:rPr>
        <w:fldChar w:fldCharType="begin"/>
      </w:r>
      <w:r>
        <w:rPr>
          <w:rFonts w:ascii="宋体" w:hAnsi="宋体" w:cs="宋体"/>
          <w:b/>
          <w:bCs/>
          <w:szCs w:val="21"/>
        </w:rPr>
        <w:instrText xml:space="preserve">HYPERLINK  \l "_5_保险金申请"</w:instrText>
      </w:r>
      <w:r>
        <w:rPr>
          <w:rFonts w:ascii="宋体" w:hAnsi="宋体" w:cs="宋体"/>
          <w:b/>
          <w:bCs/>
          <w:szCs w:val="21"/>
        </w:rPr>
        <w:fldChar w:fldCharType="separate"/>
      </w:r>
      <w:r>
        <w:rPr>
          <w:rFonts w:ascii="宋体" w:hAnsi="宋体" w:cs="宋体"/>
          <w:b/>
          <w:bCs/>
          <w:szCs w:val="21"/>
        </w:rPr>
        <w:t>4.8</w:t>
      </w:r>
      <w:r>
        <w:rPr>
          <w:rFonts w:ascii="宋体" w:hAnsi="宋体" w:cs="宋体"/>
          <w:b/>
          <w:bCs/>
          <w:szCs w:val="21"/>
        </w:rPr>
        <w:tab/>
      </w:r>
      <w:r>
        <w:rPr>
          <w:rFonts w:hint="eastAsia" w:ascii="宋体" w:hAnsi="宋体" w:cs="宋体"/>
          <w:b/>
          <w:bCs/>
          <w:szCs w:val="21"/>
        </w:rPr>
        <w:t>保险金申请人</w:t>
      </w:r>
    </w:p>
    <w:p>
      <w:pPr>
        <w:pStyle w:val="24"/>
        <w:ind w:left="945" w:leftChars="450"/>
        <w:rPr>
          <w:rFonts w:ascii="宋体" w:hAnsi="宋体"/>
          <w:szCs w:val="21"/>
        </w:rPr>
      </w:pPr>
      <w:r>
        <w:rPr>
          <w:szCs w:val="20"/>
        </w:rPr>
        <w:fldChar w:fldCharType="end"/>
      </w:r>
      <w:bookmarkStart w:id="7" w:name="_4.9_既往症"/>
      <w:bookmarkEnd w:id="7"/>
      <w:bookmarkStart w:id="8" w:name="_4.6_高风险运动"/>
      <w:bookmarkEnd w:id="8"/>
      <w:r>
        <w:rPr>
          <w:rFonts w:hint="eastAsia" w:ascii="宋体" w:hAnsi="宋体"/>
          <w:szCs w:val="21"/>
        </w:rPr>
        <w:t>除另有约定外，身故保险金申请人是指受益人或被保险人的继承人或依法享有保险金请求权的其他自然人。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 Bk">
    <w:altName w:val="Century Gothic"/>
    <w:panose1 w:val="00000000000000000000"/>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b w:val="0"/>
      </w:rPr>
    </w:pPr>
    <w:r>
      <w:rPr>
        <w:lang w:val="zh-CN"/>
      </w:rPr>
      <w:t xml:space="preserve"> </w:t>
    </w:r>
    <w:r>
      <w:rPr>
        <w:b w:val="0"/>
        <w:bCs w:val="0"/>
        <w:sz w:val="24"/>
        <w:szCs w:val="24"/>
      </w:rPr>
      <w:fldChar w:fldCharType="begin"/>
    </w:r>
    <w:r>
      <w:instrText xml:space="preserve">PAGE</w:instrText>
    </w:r>
    <w:r>
      <w:rPr>
        <w:b w:val="0"/>
        <w:bCs w:val="0"/>
        <w:sz w:val="24"/>
        <w:szCs w:val="24"/>
      </w:rPr>
      <w:fldChar w:fldCharType="separate"/>
    </w:r>
    <w:r>
      <w:t>1</w:t>
    </w:r>
    <w:r>
      <w:rPr>
        <w:b w:val="0"/>
        <w:bCs w:val="0"/>
        <w:sz w:val="24"/>
        <w:szCs w:val="24"/>
      </w:rPr>
      <w:fldChar w:fldCharType="end"/>
    </w:r>
    <w:r>
      <w:rPr>
        <w:lang w:val="zh-CN"/>
      </w:rPr>
      <w:t xml:space="preserve"> / </w:t>
    </w:r>
    <w:r>
      <w:rPr>
        <w:b w:val="0"/>
        <w:bCs w:val="0"/>
        <w:sz w:val="24"/>
        <w:szCs w:val="24"/>
      </w:rPr>
      <w:fldChar w:fldCharType="begin"/>
    </w:r>
    <w:r>
      <w:instrText xml:space="preserve">NUMPAGES</w:instrText>
    </w:r>
    <w:r>
      <w:rPr>
        <w:b w:val="0"/>
        <w:bCs w:val="0"/>
        <w:sz w:val="24"/>
        <w:szCs w:val="24"/>
      </w:rPr>
      <w:fldChar w:fldCharType="separate"/>
    </w:r>
    <w:r>
      <w:t>3</w:t>
    </w:r>
    <w:r>
      <w:rPr>
        <w:b w:val="0"/>
        <w:bCs w:val="0"/>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F3CFA"/>
    <w:multiLevelType w:val="multilevel"/>
    <w:tmpl w:val="2E9F3CFA"/>
    <w:lvl w:ilvl="0" w:tentative="0">
      <w:start w:val="1"/>
      <w:numFmt w:val="decimal"/>
      <w:lvlText w:val="（%1）"/>
      <w:lvlJc w:val="left"/>
      <w:pPr>
        <w:ind w:left="2045" w:hanging="420"/>
      </w:pPr>
      <w:rPr>
        <w:rFonts w:hint="default"/>
      </w:rPr>
    </w:lvl>
    <w:lvl w:ilvl="1" w:tentative="0">
      <w:start w:val="1"/>
      <w:numFmt w:val="lowerLetter"/>
      <w:lvlText w:val="%2)"/>
      <w:lvlJc w:val="left"/>
      <w:pPr>
        <w:ind w:left="2465" w:hanging="420"/>
      </w:pPr>
    </w:lvl>
    <w:lvl w:ilvl="2" w:tentative="0">
      <w:start w:val="1"/>
      <w:numFmt w:val="lowerRoman"/>
      <w:lvlText w:val="%3."/>
      <w:lvlJc w:val="right"/>
      <w:pPr>
        <w:ind w:left="2885" w:hanging="420"/>
      </w:pPr>
    </w:lvl>
    <w:lvl w:ilvl="3" w:tentative="0">
      <w:start w:val="1"/>
      <w:numFmt w:val="decimal"/>
      <w:lvlText w:val="%4."/>
      <w:lvlJc w:val="left"/>
      <w:pPr>
        <w:ind w:left="3305" w:hanging="420"/>
      </w:pPr>
    </w:lvl>
    <w:lvl w:ilvl="4" w:tentative="0">
      <w:start w:val="1"/>
      <w:numFmt w:val="lowerLetter"/>
      <w:lvlText w:val="%5)"/>
      <w:lvlJc w:val="left"/>
      <w:pPr>
        <w:ind w:left="3725" w:hanging="420"/>
      </w:pPr>
    </w:lvl>
    <w:lvl w:ilvl="5" w:tentative="0">
      <w:start w:val="1"/>
      <w:numFmt w:val="lowerRoman"/>
      <w:lvlText w:val="%6."/>
      <w:lvlJc w:val="right"/>
      <w:pPr>
        <w:ind w:left="4145" w:hanging="420"/>
      </w:pPr>
    </w:lvl>
    <w:lvl w:ilvl="6" w:tentative="0">
      <w:start w:val="1"/>
      <w:numFmt w:val="decimal"/>
      <w:lvlText w:val="%7."/>
      <w:lvlJc w:val="left"/>
      <w:pPr>
        <w:ind w:left="4565" w:hanging="420"/>
      </w:pPr>
    </w:lvl>
    <w:lvl w:ilvl="7" w:tentative="0">
      <w:start w:val="1"/>
      <w:numFmt w:val="lowerLetter"/>
      <w:lvlText w:val="%8)"/>
      <w:lvlJc w:val="left"/>
      <w:pPr>
        <w:ind w:left="4985" w:hanging="420"/>
      </w:pPr>
    </w:lvl>
    <w:lvl w:ilvl="8" w:tentative="0">
      <w:start w:val="1"/>
      <w:numFmt w:val="lowerRoman"/>
      <w:lvlText w:val="%9."/>
      <w:lvlJc w:val="right"/>
      <w:pPr>
        <w:ind w:left="5405" w:hanging="420"/>
      </w:pPr>
    </w:lvl>
  </w:abstractNum>
  <w:abstractNum w:abstractNumId="1">
    <w:nsid w:val="3B335B19"/>
    <w:multiLevelType w:val="multilevel"/>
    <w:tmpl w:val="3B335B19"/>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2">
    <w:nsid w:val="6339474C"/>
    <w:multiLevelType w:val="multilevel"/>
    <w:tmpl w:val="6339474C"/>
    <w:lvl w:ilvl="0" w:tentative="0">
      <w:start w:val="1"/>
      <w:numFmt w:val="decimal"/>
      <w:lvlText w:val="（%1）"/>
      <w:lvlJc w:val="left"/>
      <w:pPr>
        <w:ind w:left="6942" w:hanging="420"/>
      </w:pPr>
      <w:rPr>
        <w:rFonts w:hint="default"/>
      </w:rPr>
    </w:lvl>
    <w:lvl w:ilvl="1" w:tentative="0">
      <w:start w:val="1"/>
      <w:numFmt w:val="lowerLetter"/>
      <w:lvlText w:val="%2)"/>
      <w:lvlJc w:val="left"/>
      <w:pPr>
        <w:ind w:left="7362" w:hanging="420"/>
      </w:pPr>
    </w:lvl>
    <w:lvl w:ilvl="2" w:tentative="0">
      <w:start w:val="1"/>
      <w:numFmt w:val="lowerRoman"/>
      <w:lvlText w:val="%3."/>
      <w:lvlJc w:val="right"/>
      <w:pPr>
        <w:ind w:left="7782" w:hanging="420"/>
      </w:pPr>
    </w:lvl>
    <w:lvl w:ilvl="3" w:tentative="0">
      <w:start w:val="1"/>
      <w:numFmt w:val="decimal"/>
      <w:lvlText w:val="%4."/>
      <w:lvlJc w:val="left"/>
      <w:pPr>
        <w:ind w:left="8202" w:hanging="420"/>
      </w:pPr>
    </w:lvl>
    <w:lvl w:ilvl="4" w:tentative="0">
      <w:start w:val="1"/>
      <w:numFmt w:val="lowerLetter"/>
      <w:lvlText w:val="%5)"/>
      <w:lvlJc w:val="left"/>
      <w:pPr>
        <w:ind w:left="8622" w:hanging="420"/>
      </w:pPr>
    </w:lvl>
    <w:lvl w:ilvl="5" w:tentative="0">
      <w:start w:val="1"/>
      <w:numFmt w:val="lowerRoman"/>
      <w:lvlText w:val="%6."/>
      <w:lvlJc w:val="right"/>
      <w:pPr>
        <w:ind w:left="9042" w:hanging="420"/>
      </w:pPr>
    </w:lvl>
    <w:lvl w:ilvl="6" w:tentative="0">
      <w:start w:val="1"/>
      <w:numFmt w:val="decimal"/>
      <w:lvlText w:val="%7."/>
      <w:lvlJc w:val="left"/>
      <w:pPr>
        <w:ind w:left="9462" w:hanging="420"/>
      </w:pPr>
    </w:lvl>
    <w:lvl w:ilvl="7" w:tentative="0">
      <w:start w:val="1"/>
      <w:numFmt w:val="lowerLetter"/>
      <w:lvlText w:val="%8)"/>
      <w:lvlJc w:val="left"/>
      <w:pPr>
        <w:ind w:left="9882" w:hanging="420"/>
      </w:pPr>
    </w:lvl>
    <w:lvl w:ilvl="8" w:tentative="0">
      <w:start w:val="1"/>
      <w:numFmt w:val="lowerRoman"/>
      <w:lvlText w:val="%9."/>
      <w:lvlJc w:val="right"/>
      <w:pPr>
        <w:ind w:left="1030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1A"/>
    <w:rsid w:val="000013CC"/>
    <w:rsid w:val="000203D0"/>
    <w:rsid w:val="0002289A"/>
    <w:rsid w:val="00032834"/>
    <w:rsid w:val="000329C8"/>
    <w:rsid w:val="000424A1"/>
    <w:rsid w:val="00043CDD"/>
    <w:rsid w:val="000476E4"/>
    <w:rsid w:val="0004777D"/>
    <w:rsid w:val="00055BEF"/>
    <w:rsid w:val="00060BA6"/>
    <w:rsid w:val="000612D3"/>
    <w:rsid w:val="00062223"/>
    <w:rsid w:val="00070D3B"/>
    <w:rsid w:val="000757CA"/>
    <w:rsid w:val="00077FED"/>
    <w:rsid w:val="000859CA"/>
    <w:rsid w:val="00095DDB"/>
    <w:rsid w:val="000A34A4"/>
    <w:rsid w:val="000A3DC2"/>
    <w:rsid w:val="000B6E30"/>
    <w:rsid w:val="000C020C"/>
    <w:rsid w:val="000C32CA"/>
    <w:rsid w:val="000C60F5"/>
    <w:rsid w:val="000D1365"/>
    <w:rsid w:val="000D3FBE"/>
    <w:rsid w:val="000E56D4"/>
    <w:rsid w:val="000E7261"/>
    <w:rsid w:val="000E7FF0"/>
    <w:rsid w:val="000F1A92"/>
    <w:rsid w:val="000F555F"/>
    <w:rsid w:val="000F7C4D"/>
    <w:rsid w:val="001001A6"/>
    <w:rsid w:val="001070AF"/>
    <w:rsid w:val="001121EE"/>
    <w:rsid w:val="0011568F"/>
    <w:rsid w:val="00116F00"/>
    <w:rsid w:val="001205C5"/>
    <w:rsid w:val="00120B3B"/>
    <w:rsid w:val="001246A3"/>
    <w:rsid w:val="00131C40"/>
    <w:rsid w:val="001348B7"/>
    <w:rsid w:val="00137935"/>
    <w:rsid w:val="00137D13"/>
    <w:rsid w:val="00143C2A"/>
    <w:rsid w:val="00144C19"/>
    <w:rsid w:val="00152B92"/>
    <w:rsid w:val="00152E00"/>
    <w:rsid w:val="00153F94"/>
    <w:rsid w:val="00174F5A"/>
    <w:rsid w:val="00181C62"/>
    <w:rsid w:val="00184E77"/>
    <w:rsid w:val="0019261C"/>
    <w:rsid w:val="001A15D1"/>
    <w:rsid w:val="001A4BAD"/>
    <w:rsid w:val="001A6F23"/>
    <w:rsid w:val="001B5684"/>
    <w:rsid w:val="001C1EF5"/>
    <w:rsid w:val="001D61C9"/>
    <w:rsid w:val="001D67A3"/>
    <w:rsid w:val="001D6B67"/>
    <w:rsid w:val="001D788A"/>
    <w:rsid w:val="001D7963"/>
    <w:rsid w:val="001E2FBF"/>
    <w:rsid w:val="001E47E7"/>
    <w:rsid w:val="001E683F"/>
    <w:rsid w:val="002017A0"/>
    <w:rsid w:val="0020680D"/>
    <w:rsid w:val="00207DF0"/>
    <w:rsid w:val="0021336B"/>
    <w:rsid w:val="00224BB0"/>
    <w:rsid w:val="00227F97"/>
    <w:rsid w:val="002300F7"/>
    <w:rsid w:val="00232809"/>
    <w:rsid w:val="002333B0"/>
    <w:rsid w:val="00241284"/>
    <w:rsid w:val="00244882"/>
    <w:rsid w:val="00255D65"/>
    <w:rsid w:val="0025781C"/>
    <w:rsid w:val="002607EA"/>
    <w:rsid w:val="00262DE8"/>
    <w:rsid w:val="002701E7"/>
    <w:rsid w:val="00276190"/>
    <w:rsid w:val="00281B43"/>
    <w:rsid w:val="00285EA0"/>
    <w:rsid w:val="002864CC"/>
    <w:rsid w:val="0029244C"/>
    <w:rsid w:val="002941F1"/>
    <w:rsid w:val="002B01DD"/>
    <w:rsid w:val="002B42F5"/>
    <w:rsid w:val="002C0297"/>
    <w:rsid w:val="002C0C15"/>
    <w:rsid w:val="002C2094"/>
    <w:rsid w:val="002D48C0"/>
    <w:rsid w:val="002D60C6"/>
    <w:rsid w:val="002D615D"/>
    <w:rsid w:val="002D6E05"/>
    <w:rsid w:val="002E0C3E"/>
    <w:rsid w:val="002F0B93"/>
    <w:rsid w:val="002F45E7"/>
    <w:rsid w:val="002F485B"/>
    <w:rsid w:val="003120EA"/>
    <w:rsid w:val="003178BD"/>
    <w:rsid w:val="00320468"/>
    <w:rsid w:val="00321B06"/>
    <w:rsid w:val="003247B6"/>
    <w:rsid w:val="003255DE"/>
    <w:rsid w:val="00326C72"/>
    <w:rsid w:val="00327EA9"/>
    <w:rsid w:val="00340F23"/>
    <w:rsid w:val="003424B6"/>
    <w:rsid w:val="00351616"/>
    <w:rsid w:val="00353C02"/>
    <w:rsid w:val="00362D81"/>
    <w:rsid w:val="003778BA"/>
    <w:rsid w:val="0038314D"/>
    <w:rsid w:val="003859CD"/>
    <w:rsid w:val="003923F0"/>
    <w:rsid w:val="0039649E"/>
    <w:rsid w:val="003B2048"/>
    <w:rsid w:val="003B298B"/>
    <w:rsid w:val="003C7D6E"/>
    <w:rsid w:val="003D0701"/>
    <w:rsid w:val="003D37A6"/>
    <w:rsid w:val="003F4B0D"/>
    <w:rsid w:val="003F7911"/>
    <w:rsid w:val="00401820"/>
    <w:rsid w:val="00411907"/>
    <w:rsid w:val="00413D0B"/>
    <w:rsid w:val="00420234"/>
    <w:rsid w:val="00422744"/>
    <w:rsid w:val="004241B2"/>
    <w:rsid w:val="00424FC7"/>
    <w:rsid w:val="004334B7"/>
    <w:rsid w:val="00442A15"/>
    <w:rsid w:val="00452140"/>
    <w:rsid w:val="00460E20"/>
    <w:rsid w:val="00461089"/>
    <w:rsid w:val="004624F9"/>
    <w:rsid w:val="00462663"/>
    <w:rsid w:val="00464170"/>
    <w:rsid w:val="0047095F"/>
    <w:rsid w:val="00474182"/>
    <w:rsid w:val="0047534D"/>
    <w:rsid w:val="0047690C"/>
    <w:rsid w:val="00480203"/>
    <w:rsid w:val="00481462"/>
    <w:rsid w:val="004829A7"/>
    <w:rsid w:val="00486D79"/>
    <w:rsid w:val="00490442"/>
    <w:rsid w:val="00493E91"/>
    <w:rsid w:val="0049547E"/>
    <w:rsid w:val="00496DD3"/>
    <w:rsid w:val="004A720B"/>
    <w:rsid w:val="004B4CB9"/>
    <w:rsid w:val="004B5915"/>
    <w:rsid w:val="004C42CE"/>
    <w:rsid w:val="004C6B98"/>
    <w:rsid w:val="004D3593"/>
    <w:rsid w:val="004D365C"/>
    <w:rsid w:val="004D3C3E"/>
    <w:rsid w:val="004D54FE"/>
    <w:rsid w:val="004D6EDC"/>
    <w:rsid w:val="004E0B70"/>
    <w:rsid w:val="004E1CEB"/>
    <w:rsid w:val="004E2820"/>
    <w:rsid w:val="004E3519"/>
    <w:rsid w:val="004E4ACA"/>
    <w:rsid w:val="004F5A0A"/>
    <w:rsid w:val="004F5B33"/>
    <w:rsid w:val="004F75DC"/>
    <w:rsid w:val="004F784D"/>
    <w:rsid w:val="00500A6C"/>
    <w:rsid w:val="00516200"/>
    <w:rsid w:val="005353BB"/>
    <w:rsid w:val="00536B94"/>
    <w:rsid w:val="00546BBC"/>
    <w:rsid w:val="005542FD"/>
    <w:rsid w:val="00557748"/>
    <w:rsid w:val="00562BC4"/>
    <w:rsid w:val="0056314B"/>
    <w:rsid w:val="005646F8"/>
    <w:rsid w:val="00567782"/>
    <w:rsid w:val="00572F23"/>
    <w:rsid w:val="00575494"/>
    <w:rsid w:val="00582197"/>
    <w:rsid w:val="00583553"/>
    <w:rsid w:val="00585E44"/>
    <w:rsid w:val="00591B5A"/>
    <w:rsid w:val="00595343"/>
    <w:rsid w:val="005975D5"/>
    <w:rsid w:val="005A3607"/>
    <w:rsid w:val="005A3A11"/>
    <w:rsid w:val="005A4D23"/>
    <w:rsid w:val="005B0530"/>
    <w:rsid w:val="005B336B"/>
    <w:rsid w:val="005B517F"/>
    <w:rsid w:val="005C2858"/>
    <w:rsid w:val="005C65AF"/>
    <w:rsid w:val="005D6466"/>
    <w:rsid w:val="005D7477"/>
    <w:rsid w:val="005E7E9D"/>
    <w:rsid w:val="005F5E19"/>
    <w:rsid w:val="00612C47"/>
    <w:rsid w:val="006145AE"/>
    <w:rsid w:val="0061732D"/>
    <w:rsid w:val="00621193"/>
    <w:rsid w:val="00632792"/>
    <w:rsid w:val="00657779"/>
    <w:rsid w:val="00657D35"/>
    <w:rsid w:val="00664673"/>
    <w:rsid w:val="00667A89"/>
    <w:rsid w:val="006715F3"/>
    <w:rsid w:val="006751D5"/>
    <w:rsid w:val="00680CCB"/>
    <w:rsid w:val="00694FBF"/>
    <w:rsid w:val="006A1824"/>
    <w:rsid w:val="006A73B6"/>
    <w:rsid w:val="006B3060"/>
    <w:rsid w:val="006B405A"/>
    <w:rsid w:val="006B74D4"/>
    <w:rsid w:val="006B7C5C"/>
    <w:rsid w:val="006C1A93"/>
    <w:rsid w:val="006C675B"/>
    <w:rsid w:val="006C6D66"/>
    <w:rsid w:val="006C7CCF"/>
    <w:rsid w:val="006D42DD"/>
    <w:rsid w:val="006D49B2"/>
    <w:rsid w:val="006E0694"/>
    <w:rsid w:val="006E2F93"/>
    <w:rsid w:val="006E3FDF"/>
    <w:rsid w:val="006E47B1"/>
    <w:rsid w:val="006E6ACB"/>
    <w:rsid w:val="006E7B42"/>
    <w:rsid w:val="006E7E14"/>
    <w:rsid w:val="006F04C7"/>
    <w:rsid w:val="006F2F7D"/>
    <w:rsid w:val="007032F8"/>
    <w:rsid w:val="00710745"/>
    <w:rsid w:val="00710A27"/>
    <w:rsid w:val="00714E4B"/>
    <w:rsid w:val="00721CC7"/>
    <w:rsid w:val="00725E3E"/>
    <w:rsid w:val="00731A5C"/>
    <w:rsid w:val="007334B6"/>
    <w:rsid w:val="00735A91"/>
    <w:rsid w:val="0076033F"/>
    <w:rsid w:val="00761776"/>
    <w:rsid w:val="00784F5C"/>
    <w:rsid w:val="007947A6"/>
    <w:rsid w:val="007A15E3"/>
    <w:rsid w:val="007A506B"/>
    <w:rsid w:val="007B0DD4"/>
    <w:rsid w:val="007B1B03"/>
    <w:rsid w:val="007C2761"/>
    <w:rsid w:val="007C6140"/>
    <w:rsid w:val="007C63B1"/>
    <w:rsid w:val="007D08D9"/>
    <w:rsid w:val="007D2B27"/>
    <w:rsid w:val="007D312A"/>
    <w:rsid w:val="007D469C"/>
    <w:rsid w:val="007E383E"/>
    <w:rsid w:val="007E735E"/>
    <w:rsid w:val="007F1142"/>
    <w:rsid w:val="007F4525"/>
    <w:rsid w:val="007F7671"/>
    <w:rsid w:val="008132DF"/>
    <w:rsid w:val="008138C4"/>
    <w:rsid w:val="00813B00"/>
    <w:rsid w:val="00817057"/>
    <w:rsid w:val="008207E0"/>
    <w:rsid w:val="008260C4"/>
    <w:rsid w:val="00833919"/>
    <w:rsid w:val="00837394"/>
    <w:rsid w:val="00844246"/>
    <w:rsid w:val="008460DA"/>
    <w:rsid w:val="00857641"/>
    <w:rsid w:val="00857ACC"/>
    <w:rsid w:val="00870139"/>
    <w:rsid w:val="00874E80"/>
    <w:rsid w:val="0087607A"/>
    <w:rsid w:val="00880181"/>
    <w:rsid w:val="0088352E"/>
    <w:rsid w:val="0088474A"/>
    <w:rsid w:val="00890664"/>
    <w:rsid w:val="00892D99"/>
    <w:rsid w:val="00893381"/>
    <w:rsid w:val="008A34E3"/>
    <w:rsid w:val="008A4D2A"/>
    <w:rsid w:val="008B5488"/>
    <w:rsid w:val="008B6BBB"/>
    <w:rsid w:val="008C24E8"/>
    <w:rsid w:val="008C2E4B"/>
    <w:rsid w:val="008C3DE5"/>
    <w:rsid w:val="008D432E"/>
    <w:rsid w:val="008D52BA"/>
    <w:rsid w:val="008E1F0E"/>
    <w:rsid w:val="008E3DA1"/>
    <w:rsid w:val="008F3022"/>
    <w:rsid w:val="008F7B99"/>
    <w:rsid w:val="009018E0"/>
    <w:rsid w:val="009045A0"/>
    <w:rsid w:val="009109AB"/>
    <w:rsid w:val="00910C39"/>
    <w:rsid w:val="00917A50"/>
    <w:rsid w:val="00920857"/>
    <w:rsid w:val="009228C8"/>
    <w:rsid w:val="00922F0E"/>
    <w:rsid w:val="009341F9"/>
    <w:rsid w:val="00935B0E"/>
    <w:rsid w:val="00941671"/>
    <w:rsid w:val="0094390B"/>
    <w:rsid w:val="00952D36"/>
    <w:rsid w:val="009625DC"/>
    <w:rsid w:val="00963A64"/>
    <w:rsid w:val="00970C90"/>
    <w:rsid w:val="00972CD6"/>
    <w:rsid w:val="0097306A"/>
    <w:rsid w:val="0097473E"/>
    <w:rsid w:val="00985658"/>
    <w:rsid w:val="0098610C"/>
    <w:rsid w:val="00990373"/>
    <w:rsid w:val="009939C3"/>
    <w:rsid w:val="0099406A"/>
    <w:rsid w:val="00997CF9"/>
    <w:rsid w:val="009A03E1"/>
    <w:rsid w:val="009A1E40"/>
    <w:rsid w:val="009A5F30"/>
    <w:rsid w:val="009B08C4"/>
    <w:rsid w:val="009B0E51"/>
    <w:rsid w:val="009B1454"/>
    <w:rsid w:val="009B1A29"/>
    <w:rsid w:val="009B5A21"/>
    <w:rsid w:val="009B6498"/>
    <w:rsid w:val="009B780A"/>
    <w:rsid w:val="009C0B09"/>
    <w:rsid w:val="009C1A59"/>
    <w:rsid w:val="009C626C"/>
    <w:rsid w:val="009D2C79"/>
    <w:rsid w:val="009D3400"/>
    <w:rsid w:val="009D4613"/>
    <w:rsid w:val="009E3254"/>
    <w:rsid w:val="009F7003"/>
    <w:rsid w:val="00A073C5"/>
    <w:rsid w:val="00A1072A"/>
    <w:rsid w:val="00A13706"/>
    <w:rsid w:val="00A160D6"/>
    <w:rsid w:val="00A20642"/>
    <w:rsid w:val="00A20B00"/>
    <w:rsid w:val="00A219B2"/>
    <w:rsid w:val="00A32A24"/>
    <w:rsid w:val="00A368C3"/>
    <w:rsid w:val="00A50754"/>
    <w:rsid w:val="00A54AD0"/>
    <w:rsid w:val="00A61D48"/>
    <w:rsid w:val="00A64FE4"/>
    <w:rsid w:val="00A77966"/>
    <w:rsid w:val="00A80F69"/>
    <w:rsid w:val="00A86889"/>
    <w:rsid w:val="00A86CDC"/>
    <w:rsid w:val="00A907E5"/>
    <w:rsid w:val="00A93A8F"/>
    <w:rsid w:val="00A94008"/>
    <w:rsid w:val="00AA12BD"/>
    <w:rsid w:val="00AA2B2F"/>
    <w:rsid w:val="00AB4FF3"/>
    <w:rsid w:val="00AC2950"/>
    <w:rsid w:val="00AC3B56"/>
    <w:rsid w:val="00AC4241"/>
    <w:rsid w:val="00AC4FED"/>
    <w:rsid w:val="00AC6F83"/>
    <w:rsid w:val="00AD10A0"/>
    <w:rsid w:val="00AD2B7A"/>
    <w:rsid w:val="00AE0E63"/>
    <w:rsid w:val="00AE1763"/>
    <w:rsid w:val="00AE3C94"/>
    <w:rsid w:val="00AF335B"/>
    <w:rsid w:val="00B01819"/>
    <w:rsid w:val="00B02067"/>
    <w:rsid w:val="00B03E53"/>
    <w:rsid w:val="00B07E5E"/>
    <w:rsid w:val="00B10B6D"/>
    <w:rsid w:val="00B132CF"/>
    <w:rsid w:val="00B14BC3"/>
    <w:rsid w:val="00B201F9"/>
    <w:rsid w:val="00B37289"/>
    <w:rsid w:val="00B37660"/>
    <w:rsid w:val="00B56D0E"/>
    <w:rsid w:val="00B60128"/>
    <w:rsid w:val="00B61931"/>
    <w:rsid w:val="00B66FB9"/>
    <w:rsid w:val="00B72B09"/>
    <w:rsid w:val="00B75780"/>
    <w:rsid w:val="00B76296"/>
    <w:rsid w:val="00B93271"/>
    <w:rsid w:val="00B93F24"/>
    <w:rsid w:val="00B95800"/>
    <w:rsid w:val="00B95F8C"/>
    <w:rsid w:val="00BC5D1B"/>
    <w:rsid w:val="00BC739D"/>
    <w:rsid w:val="00BC77A7"/>
    <w:rsid w:val="00BD509F"/>
    <w:rsid w:val="00BD5181"/>
    <w:rsid w:val="00BE2031"/>
    <w:rsid w:val="00BE3A9B"/>
    <w:rsid w:val="00BF4180"/>
    <w:rsid w:val="00BF790F"/>
    <w:rsid w:val="00C06686"/>
    <w:rsid w:val="00C1176F"/>
    <w:rsid w:val="00C11DE0"/>
    <w:rsid w:val="00C14527"/>
    <w:rsid w:val="00C21AF6"/>
    <w:rsid w:val="00C252F9"/>
    <w:rsid w:val="00C2547C"/>
    <w:rsid w:val="00C25FE6"/>
    <w:rsid w:val="00C34C41"/>
    <w:rsid w:val="00C4234A"/>
    <w:rsid w:val="00C45D73"/>
    <w:rsid w:val="00C47396"/>
    <w:rsid w:val="00C4795C"/>
    <w:rsid w:val="00C528A1"/>
    <w:rsid w:val="00C57CFD"/>
    <w:rsid w:val="00C603AC"/>
    <w:rsid w:val="00C61C43"/>
    <w:rsid w:val="00C61EE5"/>
    <w:rsid w:val="00C63502"/>
    <w:rsid w:val="00C63D49"/>
    <w:rsid w:val="00C6717F"/>
    <w:rsid w:val="00C703EA"/>
    <w:rsid w:val="00C70D5B"/>
    <w:rsid w:val="00C758FC"/>
    <w:rsid w:val="00C76EFB"/>
    <w:rsid w:val="00C83861"/>
    <w:rsid w:val="00C948A2"/>
    <w:rsid w:val="00C97F1A"/>
    <w:rsid w:val="00CA54C4"/>
    <w:rsid w:val="00CA715F"/>
    <w:rsid w:val="00CB5E65"/>
    <w:rsid w:val="00CC2776"/>
    <w:rsid w:val="00CC6143"/>
    <w:rsid w:val="00CD08AF"/>
    <w:rsid w:val="00CE082D"/>
    <w:rsid w:val="00CE4C07"/>
    <w:rsid w:val="00CF44E8"/>
    <w:rsid w:val="00CF5CF2"/>
    <w:rsid w:val="00D07CF9"/>
    <w:rsid w:val="00D15C8C"/>
    <w:rsid w:val="00D164A0"/>
    <w:rsid w:val="00D16A07"/>
    <w:rsid w:val="00D20EE1"/>
    <w:rsid w:val="00D405A5"/>
    <w:rsid w:val="00D45CEA"/>
    <w:rsid w:val="00D60B00"/>
    <w:rsid w:val="00D6273D"/>
    <w:rsid w:val="00D75562"/>
    <w:rsid w:val="00D758AB"/>
    <w:rsid w:val="00D77711"/>
    <w:rsid w:val="00D80CB2"/>
    <w:rsid w:val="00D91AFA"/>
    <w:rsid w:val="00DA73C3"/>
    <w:rsid w:val="00DB092F"/>
    <w:rsid w:val="00DB2B06"/>
    <w:rsid w:val="00DC664A"/>
    <w:rsid w:val="00DD08DD"/>
    <w:rsid w:val="00DD37E2"/>
    <w:rsid w:val="00DD39C6"/>
    <w:rsid w:val="00DD7A48"/>
    <w:rsid w:val="00DF0C1C"/>
    <w:rsid w:val="00DF0C9E"/>
    <w:rsid w:val="00DF14A6"/>
    <w:rsid w:val="00DF3946"/>
    <w:rsid w:val="00DF4E38"/>
    <w:rsid w:val="00DF5B10"/>
    <w:rsid w:val="00E0251F"/>
    <w:rsid w:val="00E02937"/>
    <w:rsid w:val="00E05275"/>
    <w:rsid w:val="00E057E3"/>
    <w:rsid w:val="00E125DA"/>
    <w:rsid w:val="00E1264A"/>
    <w:rsid w:val="00E17BEA"/>
    <w:rsid w:val="00E24C08"/>
    <w:rsid w:val="00E24C91"/>
    <w:rsid w:val="00E25F94"/>
    <w:rsid w:val="00E310BB"/>
    <w:rsid w:val="00E43DD0"/>
    <w:rsid w:val="00E44B99"/>
    <w:rsid w:val="00E457D1"/>
    <w:rsid w:val="00E53955"/>
    <w:rsid w:val="00E63317"/>
    <w:rsid w:val="00E7045F"/>
    <w:rsid w:val="00E74351"/>
    <w:rsid w:val="00E85EBC"/>
    <w:rsid w:val="00E85EBE"/>
    <w:rsid w:val="00E91376"/>
    <w:rsid w:val="00E92128"/>
    <w:rsid w:val="00E94C2C"/>
    <w:rsid w:val="00E95262"/>
    <w:rsid w:val="00E95C3F"/>
    <w:rsid w:val="00E97CA2"/>
    <w:rsid w:val="00EA37A6"/>
    <w:rsid w:val="00EA5B6F"/>
    <w:rsid w:val="00EA5F4C"/>
    <w:rsid w:val="00EB10A9"/>
    <w:rsid w:val="00EB1852"/>
    <w:rsid w:val="00EB75A1"/>
    <w:rsid w:val="00EB7749"/>
    <w:rsid w:val="00ED07E7"/>
    <w:rsid w:val="00ED4518"/>
    <w:rsid w:val="00ED461C"/>
    <w:rsid w:val="00ED76EB"/>
    <w:rsid w:val="00EE1354"/>
    <w:rsid w:val="00EE1E30"/>
    <w:rsid w:val="00EE713F"/>
    <w:rsid w:val="00EE779F"/>
    <w:rsid w:val="00EF07C0"/>
    <w:rsid w:val="00EF616C"/>
    <w:rsid w:val="00F00716"/>
    <w:rsid w:val="00F03316"/>
    <w:rsid w:val="00F12553"/>
    <w:rsid w:val="00F12B3C"/>
    <w:rsid w:val="00F256B3"/>
    <w:rsid w:val="00F30DE6"/>
    <w:rsid w:val="00F3165C"/>
    <w:rsid w:val="00F46E41"/>
    <w:rsid w:val="00F4728D"/>
    <w:rsid w:val="00F477AB"/>
    <w:rsid w:val="00F53BF2"/>
    <w:rsid w:val="00F55578"/>
    <w:rsid w:val="00F5689A"/>
    <w:rsid w:val="00F65094"/>
    <w:rsid w:val="00F70F12"/>
    <w:rsid w:val="00F74CCB"/>
    <w:rsid w:val="00F77644"/>
    <w:rsid w:val="00F80D1A"/>
    <w:rsid w:val="00F837E9"/>
    <w:rsid w:val="00F83E2F"/>
    <w:rsid w:val="00F84851"/>
    <w:rsid w:val="00F8734F"/>
    <w:rsid w:val="00F87C96"/>
    <w:rsid w:val="00F90ABD"/>
    <w:rsid w:val="00F9325D"/>
    <w:rsid w:val="00F94D78"/>
    <w:rsid w:val="00F95161"/>
    <w:rsid w:val="00F953D5"/>
    <w:rsid w:val="00F9628F"/>
    <w:rsid w:val="00FA3F4A"/>
    <w:rsid w:val="00FB2CC5"/>
    <w:rsid w:val="00FB38BD"/>
    <w:rsid w:val="00FB3B6E"/>
    <w:rsid w:val="00FC155F"/>
    <w:rsid w:val="00FC1C8E"/>
    <w:rsid w:val="00FC4B9D"/>
    <w:rsid w:val="00FE21A0"/>
    <w:rsid w:val="00FF101C"/>
    <w:rsid w:val="00FF6FB7"/>
    <w:rsid w:val="1E0F40F8"/>
    <w:rsid w:val="335F1A6C"/>
    <w:rsid w:val="4E8B4DD5"/>
    <w:rsid w:val="6FDE1522"/>
    <w:rsid w:val="7ED8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tabs>
        <w:tab w:val="left" w:pos="1050"/>
      </w:tabs>
      <w:outlineLvl w:val="0"/>
    </w:pPr>
    <w:rPr>
      <w:rFonts w:ascii="宋体" w:hAnsi="宋体" w:cs="宋体"/>
      <w:b/>
      <w:bCs/>
      <w:color w:val="000000"/>
      <w:kern w:val="44"/>
      <w:szCs w:val="21"/>
    </w:rPr>
  </w:style>
  <w:style w:type="paragraph" w:styleId="3">
    <w:name w:val="heading 2"/>
    <w:basedOn w:val="1"/>
    <w:next w:val="1"/>
    <w:link w:val="35"/>
    <w:semiHidden/>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8"/>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2"/>
    <w:qFormat/>
    <w:uiPriority w:val="99"/>
    <w:pPr>
      <w:jc w:val="left"/>
    </w:pPr>
  </w:style>
  <w:style w:type="paragraph" w:styleId="6">
    <w:name w:val="Body Text 3"/>
    <w:basedOn w:val="1"/>
    <w:uiPriority w:val="0"/>
    <w:pPr>
      <w:spacing w:after="120"/>
    </w:pPr>
    <w:rPr>
      <w:sz w:val="16"/>
      <w:szCs w:val="16"/>
    </w:rPr>
  </w:style>
  <w:style w:type="paragraph" w:styleId="7">
    <w:name w:val="Body Text"/>
    <w:basedOn w:val="1"/>
    <w:qFormat/>
    <w:uiPriority w:val="0"/>
    <w:pPr>
      <w:jc w:val="center"/>
    </w:pPr>
    <w:rPr>
      <w:rFonts w:ascii="仿宋_GB2312" w:eastAsia="仿宋_GB2312"/>
      <w:b/>
      <w:sz w:val="24"/>
      <w:szCs w:val="20"/>
    </w:rPr>
  </w:style>
  <w:style w:type="paragraph" w:styleId="8">
    <w:name w:val="Date"/>
    <w:basedOn w:val="1"/>
    <w:next w:val="1"/>
    <w:link w:val="45"/>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32"/>
    <w:qFormat/>
    <w:uiPriority w:val="99"/>
    <w:pPr>
      <w:tabs>
        <w:tab w:val="center" w:pos="4153"/>
        <w:tab w:val="right" w:pos="8306"/>
      </w:tabs>
      <w:snapToGrid w:val="0"/>
      <w:jc w:val="left"/>
    </w:pPr>
    <w:rPr>
      <w:b/>
      <w:bCs/>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39"/>
    <w:qFormat/>
    <w:uiPriority w:val="0"/>
    <w:pPr>
      <w:snapToGrid w:val="0"/>
      <w:jc w:val="left"/>
    </w:pPr>
    <w:rPr>
      <w:sz w:val="18"/>
      <w:szCs w:val="18"/>
    </w:rPr>
  </w:style>
  <w:style w:type="paragraph" w:styleId="13">
    <w:name w:val="Body Text 2"/>
    <w:basedOn w:val="1"/>
    <w:qFormat/>
    <w:uiPriority w:val="0"/>
    <w:pPr>
      <w:spacing w:after="120" w:line="480" w:lineRule="auto"/>
    </w:pPr>
  </w:style>
  <w:style w:type="paragraph" w:styleId="14">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Title"/>
    <w:basedOn w:val="1"/>
    <w:next w:val="1"/>
    <w:link w:val="40"/>
    <w:qFormat/>
    <w:uiPriority w:val="0"/>
    <w:pPr>
      <w:spacing w:before="240" w:after="60"/>
      <w:jc w:val="center"/>
      <w:outlineLvl w:val="0"/>
    </w:pPr>
    <w:rPr>
      <w:rFonts w:ascii="Cambria" w:hAnsi="Cambria"/>
      <w:b/>
      <w:bCs/>
      <w:sz w:val="32"/>
      <w:szCs w:val="32"/>
    </w:rPr>
  </w:style>
  <w:style w:type="paragraph" w:styleId="16">
    <w:name w:val="annotation subject"/>
    <w:basedOn w:val="5"/>
    <w:next w:val="5"/>
    <w:semiHidden/>
    <w:qFormat/>
    <w:uiPriority w:val="0"/>
    <w:rPr>
      <w:b/>
      <w:bCs/>
    </w:rPr>
  </w:style>
  <w:style w:type="character" w:styleId="19">
    <w:name w:val="page number"/>
    <w:basedOn w:val="18"/>
    <w:qFormat/>
    <w:uiPriority w:val="0"/>
  </w:style>
  <w:style w:type="character" w:styleId="20">
    <w:name w:val="FollowedHyperlink"/>
    <w:qFormat/>
    <w:uiPriority w:val="0"/>
    <w:rPr>
      <w:color w:val="954F72"/>
      <w:u w:val="single"/>
    </w:rPr>
  </w:style>
  <w:style w:type="character" w:styleId="21">
    <w:name w:val="Hyperlink"/>
    <w:unhideWhenUsed/>
    <w:qFormat/>
    <w:uiPriority w:val="99"/>
    <w:rPr>
      <w:color w:val="0563C1"/>
      <w:u w:val="single"/>
    </w:rPr>
  </w:style>
  <w:style w:type="character" w:styleId="22">
    <w:name w:val="annotation reference"/>
    <w:qFormat/>
    <w:uiPriority w:val="99"/>
    <w:rPr>
      <w:sz w:val="21"/>
      <w:szCs w:val="21"/>
    </w:rPr>
  </w:style>
  <w:style w:type="character" w:styleId="23">
    <w:name w:val="footnote reference"/>
    <w:qFormat/>
    <w:uiPriority w:val="0"/>
    <w:rPr>
      <w:vertAlign w:val="superscript"/>
    </w:rPr>
  </w:style>
  <w:style w:type="paragraph" w:customStyle="1" w:styleId="24">
    <w:name w:val="条款正文"/>
    <w:basedOn w:val="1"/>
    <w:link w:val="33"/>
    <w:qFormat/>
    <w:uiPriority w:val="0"/>
    <w:pPr>
      <w:adjustRightInd w:val="0"/>
      <w:snapToGrid w:val="0"/>
      <w:ind w:left="840" w:leftChars="400" w:firstLine="420" w:firstLineChars="200"/>
    </w:pPr>
  </w:style>
  <w:style w:type="paragraph" w:customStyle="1" w:styleId="25">
    <w:name w:val="条款标题"/>
    <w:basedOn w:val="24"/>
    <w:qFormat/>
    <w:uiPriority w:val="0"/>
    <w:pPr>
      <w:tabs>
        <w:tab w:val="left" w:pos="840"/>
      </w:tabs>
      <w:ind w:left="0" w:leftChars="0" w:firstLine="0" w:firstLineChars="0"/>
    </w:pPr>
    <w:rPr>
      <w:b/>
    </w:rPr>
  </w:style>
  <w:style w:type="paragraph" w:customStyle="1" w:styleId="26">
    <w:name w:val="_Style 15"/>
    <w:basedOn w:val="1"/>
    <w:qFormat/>
    <w:uiPriority w:val="0"/>
    <w:pPr>
      <w:widowControl/>
      <w:autoSpaceDE w:val="0"/>
      <w:autoSpaceDN w:val="0"/>
      <w:adjustRightInd w:val="0"/>
      <w:jc w:val="left"/>
    </w:pPr>
    <w:rPr>
      <w:rFonts w:ascii="Futura Bk" w:hAnsi="Futura Bk"/>
      <w:kern w:val="0"/>
      <w:sz w:val="20"/>
      <w:szCs w:val="20"/>
      <w:lang w:val="en-GB" w:eastAsia="en-US"/>
    </w:rPr>
  </w:style>
  <w:style w:type="paragraph" w:customStyle="1" w:styleId="27">
    <w:name w:val="Char Char Char Char Char Char Char Char Char Char Char Char"/>
    <w:basedOn w:val="1"/>
    <w:qFormat/>
    <w:uiPriority w:val="0"/>
    <w:pPr>
      <w:widowControl/>
      <w:autoSpaceDE w:val="0"/>
      <w:autoSpaceDN w:val="0"/>
      <w:adjustRightInd w:val="0"/>
      <w:jc w:val="left"/>
    </w:pPr>
    <w:rPr>
      <w:rFonts w:ascii="Futura Bk" w:hAnsi="Futura Bk"/>
      <w:kern w:val="0"/>
      <w:sz w:val="20"/>
      <w:szCs w:val="20"/>
      <w:lang w:val="en-GB" w:eastAsia="en-US"/>
    </w:rPr>
  </w:style>
  <w:style w:type="paragraph" w:customStyle="1" w:styleId="28">
    <w:name w:val="Char Char Char Char"/>
    <w:basedOn w:val="1"/>
    <w:qFormat/>
    <w:uiPriority w:val="0"/>
    <w:pPr>
      <w:widowControl/>
      <w:autoSpaceDE w:val="0"/>
      <w:autoSpaceDN w:val="0"/>
      <w:adjustRightInd w:val="0"/>
      <w:jc w:val="left"/>
    </w:pPr>
    <w:rPr>
      <w:rFonts w:ascii="Futura Bk" w:hAnsi="Futura Bk"/>
      <w:kern w:val="0"/>
      <w:sz w:val="20"/>
      <w:szCs w:val="20"/>
      <w:lang w:val="en-GB" w:eastAsia="en-US"/>
    </w:rPr>
  </w:style>
  <w:style w:type="paragraph" w:customStyle="1" w:styleId="29">
    <w:name w:val="Char Char1 Char Char Char Char"/>
    <w:basedOn w:val="1"/>
    <w:qFormat/>
    <w:uiPriority w:val="0"/>
    <w:pPr>
      <w:widowControl/>
      <w:autoSpaceDE w:val="0"/>
      <w:autoSpaceDN w:val="0"/>
      <w:adjustRightInd w:val="0"/>
      <w:jc w:val="left"/>
    </w:pPr>
    <w:rPr>
      <w:rFonts w:ascii="Futura Bk" w:hAnsi="Futura Bk"/>
      <w:kern w:val="0"/>
      <w:sz w:val="20"/>
      <w:szCs w:val="20"/>
      <w:lang w:val="en-GB" w:eastAsia="en-US"/>
    </w:rPr>
  </w:style>
  <w:style w:type="paragraph" w:customStyle="1" w:styleId="30">
    <w:name w:val="Char Char2"/>
    <w:basedOn w:val="1"/>
    <w:qFormat/>
    <w:uiPriority w:val="0"/>
    <w:pPr>
      <w:widowControl/>
      <w:autoSpaceDE w:val="0"/>
      <w:autoSpaceDN w:val="0"/>
      <w:adjustRightInd w:val="0"/>
      <w:jc w:val="left"/>
    </w:pPr>
    <w:rPr>
      <w:rFonts w:ascii="Futura Bk" w:hAnsi="Futura Bk"/>
      <w:kern w:val="0"/>
      <w:sz w:val="20"/>
      <w:szCs w:val="20"/>
      <w:lang w:val="en-GB" w:eastAsia="en-US"/>
    </w:rPr>
  </w:style>
  <w:style w:type="paragraph" w:customStyle="1" w:styleId="31">
    <w:name w:val="Char Char1 Char Char Char Char Char Char Char Char Char Char Char Char Char Char Char Char"/>
    <w:basedOn w:val="1"/>
    <w:qFormat/>
    <w:uiPriority w:val="0"/>
    <w:pPr>
      <w:widowControl/>
      <w:autoSpaceDE w:val="0"/>
      <w:autoSpaceDN w:val="0"/>
      <w:adjustRightInd w:val="0"/>
      <w:jc w:val="left"/>
    </w:pPr>
    <w:rPr>
      <w:rFonts w:ascii="Futura Bk" w:hAnsi="Futura Bk"/>
      <w:kern w:val="0"/>
      <w:sz w:val="20"/>
      <w:szCs w:val="20"/>
      <w:lang w:val="en-GB" w:eastAsia="en-US"/>
    </w:rPr>
  </w:style>
  <w:style w:type="character" w:customStyle="1" w:styleId="32">
    <w:name w:val="页脚 Char"/>
    <w:link w:val="10"/>
    <w:qFormat/>
    <w:uiPriority w:val="99"/>
    <w:rPr>
      <w:b/>
      <w:bCs/>
      <w:kern w:val="2"/>
      <w:sz w:val="18"/>
      <w:szCs w:val="18"/>
    </w:rPr>
  </w:style>
  <w:style w:type="character" w:customStyle="1" w:styleId="33">
    <w:name w:val="条款正文 字符"/>
    <w:link w:val="24"/>
    <w:qFormat/>
    <w:uiPriority w:val="0"/>
    <w:rPr>
      <w:kern w:val="2"/>
      <w:sz w:val="21"/>
      <w:szCs w:val="24"/>
    </w:rPr>
  </w:style>
  <w:style w:type="character" w:customStyle="1" w:styleId="34">
    <w:name w:val="标题 1 Char"/>
    <w:link w:val="2"/>
    <w:qFormat/>
    <w:uiPriority w:val="9"/>
    <w:rPr>
      <w:rFonts w:ascii="宋体" w:hAnsi="宋体" w:cs="宋体"/>
      <w:b/>
      <w:bCs/>
      <w:color w:val="000000"/>
      <w:kern w:val="44"/>
      <w:sz w:val="21"/>
      <w:szCs w:val="21"/>
    </w:rPr>
  </w:style>
  <w:style w:type="character" w:customStyle="1" w:styleId="35">
    <w:name w:val="标题 2 Char"/>
    <w:link w:val="3"/>
    <w:semiHidden/>
    <w:qFormat/>
    <w:uiPriority w:val="0"/>
    <w:rPr>
      <w:rFonts w:ascii="Calibri Light" w:hAnsi="Calibri Light" w:eastAsia="宋体" w:cs="Times New Roman"/>
      <w:b/>
      <w:bCs/>
      <w:kern w:val="2"/>
      <w:sz w:val="32"/>
      <w:szCs w:val="32"/>
    </w:rPr>
  </w:style>
  <w:style w:type="paragraph" w:customStyle="1" w:styleId="36">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a1"/>
    <w:qFormat/>
    <w:uiPriority w:val="0"/>
  </w:style>
  <w:style w:type="character" w:customStyle="1" w:styleId="38">
    <w:name w:val="标题 3 Char"/>
    <w:link w:val="4"/>
    <w:semiHidden/>
    <w:qFormat/>
    <w:uiPriority w:val="0"/>
    <w:rPr>
      <w:b/>
      <w:bCs/>
      <w:kern w:val="2"/>
      <w:sz w:val="32"/>
      <w:szCs w:val="32"/>
    </w:rPr>
  </w:style>
  <w:style w:type="character" w:customStyle="1" w:styleId="39">
    <w:name w:val="脚注文本 Char"/>
    <w:link w:val="12"/>
    <w:qFormat/>
    <w:uiPriority w:val="0"/>
    <w:rPr>
      <w:kern w:val="2"/>
      <w:sz w:val="18"/>
      <w:szCs w:val="18"/>
    </w:rPr>
  </w:style>
  <w:style w:type="character" w:customStyle="1" w:styleId="40">
    <w:name w:val="标题 Char"/>
    <w:link w:val="15"/>
    <w:qFormat/>
    <w:uiPriority w:val="0"/>
    <w:rPr>
      <w:rFonts w:ascii="Cambria" w:hAnsi="Cambria"/>
      <w:b/>
      <w:bCs/>
      <w:kern w:val="2"/>
      <w:sz w:val="32"/>
      <w:szCs w:val="32"/>
    </w:rPr>
  </w:style>
  <w:style w:type="paragraph" w:customStyle="1" w:styleId="41">
    <w:name w:val="的"/>
    <w:basedOn w:val="1"/>
    <w:qFormat/>
    <w:uiPriority w:val="0"/>
    <w:pPr>
      <w:tabs>
        <w:tab w:val="left" w:pos="840"/>
      </w:tabs>
      <w:adjustRightInd w:val="0"/>
      <w:snapToGrid w:val="0"/>
      <w:spacing w:line="0" w:lineRule="atLeast"/>
    </w:pPr>
    <w:rPr>
      <w:rFonts w:ascii="宋体" w:hAnsi="宋体" w:cs="宋体"/>
      <w:b/>
      <w:szCs w:val="21"/>
    </w:rPr>
  </w:style>
  <w:style w:type="character" w:customStyle="1" w:styleId="42">
    <w:name w:val="批注文字 Char"/>
    <w:link w:val="5"/>
    <w:qFormat/>
    <w:uiPriority w:val="99"/>
    <w:rPr>
      <w:kern w:val="2"/>
      <w:sz w:val="21"/>
      <w:szCs w:val="24"/>
    </w:rPr>
  </w:style>
  <w:style w:type="character" w:customStyle="1" w:styleId="43">
    <w:name w:val="HTML 预设格式 Char"/>
    <w:link w:val="14"/>
    <w:qFormat/>
    <w:uiPriority w:val="99"/>
    <w:rPr>
      <w:rFonts w:ascii="宋体" w:hAnsi="宋体" w:cs="宋体"/>
      <w:sz w:val="24"/>
      <w:szCs w:val="24"/>
    </w:rPr>
  </w:style>
  <w:style w:type="paragraph" w:styleId="44">
    <w:name w:val="List Paragraph"/>
    <w:basedOn w:val="1"/>
    <w:qFormat/>
    <w:uiPriority w:val="34"/>
    <w:pPr>
      <w:ind w:firstLine="420" w:firstLineChars="200"/>
    </w:pPr>
  </w:style>
  <w:style w:type="character" w:customStyle="1" w:styleId="45">
    <w:name w:val="日期 Char"/>
    <w:link w:val="8"/>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336A3-4109-4729-AAF2-F7281314CE7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432</Words>
  <Characters>2463</Characters>
  <Lines>20</Lines>
  <Paragraphs>5</Paragraphs>
  <TotalTime>1</TotalTime>
  <ScaleCrop>false</ScaleCrop>
  <LinksUpToDate>false</LinksUpToDate>
  <CharactersWithSpaces>2890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2020-04-10T05:54:00Z</dcterms:created>
  <dc:creator>Jason Li</dc:creator>
  <cp:lastModifiedBy>赵骏</cp:lastModifiedBy>
  <dcterms:modified xsi:type="dcterms:W3CDTF">2021-12-22T08:39:36Z</dcterms:modified>
  <dc:title>Health1-主-重大疾病条款框架（个人）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9822614E43CE47879C87D020D3B09252</vt:lpwstr>
  </property>
</Properties>
</file>