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中国人民财产保险股份有限公司</w:t>
      </w:r>
    </w:p>
    <w:p>
      <w:pPr>
        <w:snapToGrid w:val="0"/>
        <w:jc w:val="center"/>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预防接种医疗意外保险（互联网专属）条款</w:t>
      </w:r>
    </w:p>
    <w:p>
      <w:pPr>
        <w:snapToGrid w:val="0"/>
        <w:jc w:val="center"/>
        <w:rPr>
          <w:rFonts w:hint="eastAsia" w:asciiTheme="majorEastAsia" w:hAnsiTheme="majorEastAsia" w:eastAsiaTheme="majorEastAsia"/>
          <w:b/>
          <w:sz w:val="28"/>
          <w:szCs w:val="28"/>
        </w:rPr>
      </w:pPr>
    </w:p>
    <w:p>
      <w:pPr>
        <w:pStyle w:val="2"/>
      </w:pPr>
      <w:r>
        <w:rPr>
          <w:rFonts w:hint="eastAsia"/>
        </w:rPr>
        <w:t>1</w:t>
      </w:r>
      <w:r>
        <w:rPr>
          <w:rFonts w:hint="eastAsia"/>
        </w:rPr>
        <w:tab/>
      </w:r>
      <w:r>
        <w:rPr>
          <w:rFonts w:hint="eastAsia"/>
        </w:rPr>
        <w:t>总则</w:t>
      </w:r>
    </w:p>
    <w:p>
      <w:pPr>
        <w:pStyle w:val="3"/>
      </w:pPr>
      <w:r>
        <w:rPr>
          <w:rFonts w:hint="eastAsia"/>
        </w:rPr>
        <w:t>1.1</w:t>
      </w:r>
      <w:r>
        <w:rPr>
          <w:rFonts w:hint="eastAsia"/>
        </w:rPr>
        <w:tab/>
      </w:r>
      <w:r>
        <w:rPr>
          <w:rFonts w:hint="eastAsia"/>
        </w:rPr>
        <w:t>合同构成</w:t>
      </w:r>
    </w:p>
    <w:p>
      <w:pPr>
        <w:pStyle w:val="26"/>
        <w:ind w:left="945" w:leftChars="450"/>
        <w:rPr>
          <w:rFonts w:ascii="宋体" w:hAnsi="宋体"/>
          <w:szCs w:val="21"/>
        </w:rPr>
      </w:pPr>
      <w:r>
        <w:rPr>
          <w:rFonts w:hint="eastAsia" w:ascii="宋体" w:hAnsi="宋体"/>
          <w:szCs w:val="21"/>
        </w:rPr>
        <w:t>本保险合同由保险条款、投保单、保险单以及经投保人与保险人认可的、与保险合同有关的其它书面协议（包括但不限于健康问卷、声明、批单）组成。凡涉及本保险合同的约定，均应采用书面形式</w:t>
      </w:r>
      <w:r>
        <w:rPr>
          <w:rFonts w:hint="eastAsia"/>
        </w:rPr>
        <w:t>。</w:t>
      </w:r>
    </w:p>
    <w:p>
      <w:pPr>
        <w:pStyle w:val="3"/>
      </w:pPr>
      <w:r>
        <w:rPr>
          <w:rFonts w:hint="eastAsia"/>
        </w:rPr>
        <w:t>1.2</w:t>
      </w:r>
      <w:r>
        <w:rPr>
          <w:rFonts w:hint="eastAsia"/>
        </w:rPr>
        <w:tab/>
      </w:r>
      <w:r>
        <w:rPr>
          <w:rFonts w:hint="eastAsia"/>
        </w:rPr>
        <w:t>投保人</w:t>
      </w:r>
    </w:p>
    <w:p>
      <w:pPr>
        <w:pStyle w:val="20"/>
        <w:tabs>
          <w:tab w:val="clear" w:pos="840"/>
        </w:tabs>
        <w:ind w:left="840" w:leftChars="400" w:firstLine="420"/>
        <w:rPr>
          <w:b w:val="0"/>
        </w:rPr>
      </w:pPr>
      <w:r>
        <w:rPr>
          <w:rFonts w:hint="eastAsia"/>
          <w:b w:val="0"/>
        </w:rPr>
        <w:t>具有完全民事行为能力的被保险人本人，或在本保险合同订立时对被保险人有保险利益的其他自然人或特定主体可作为本保险合同的投保人。</w:t>
      </w:r>
    </w:p>
    <w:p>
      <w:pPr>
        <w:tabs>
          <w:tab w:val="left" w:pos="840"/>
        </w:tabs>
        <w:outlineLvl w:val="1"/>
        <w:rPr>
          <w:rFonts w:ascii="宋体" w:hAnsi="宋体" w:cs="宋体"/>
          <w:b/>
          <w:bCs/>
          <w:kern w:val="28"/>
        </w:rPr>
      </w:pPr>
      <w:r>
        <w:rPr>
          <w:rFonts w:hint="eastAsia" w:ascii="宋体" w:hAnsi="宋体" w:cs="宋体"/>
          <w:b/>
          <w:bCs/>
          <w:kern w:val="28"/>
        </w:rPr>
        <w:t>1.</w:t>
      </w:r>
      <w:r>
        <w:rPr>
          <w:rFonts w:ascii="宋体" w:hAnsi="宋体" w:cs="宋体"/>
          <w:b/>
          <w:bCs/>
          <w:kern w:val="28"/>
        </w:rPr>
        <w:t>3</w:t>
      </w:r>
      <w:r>
        <w:rPr>
          <w:rFonts w:ascii="宋体" w:hAnsi="宋体" w:cs="宋体"/>
          <w:b/>
          <w:bCs/>
          <w:kern w:val="28"/>
        </w:rPr>
        <w:tab/>
      </w:r>
      <w:r>
        <w:rPr>
          <w:rFonts w:hint="eastAsia" w:ascii="宋体" w:hAnsi="宋体" w:cs="宋体"/>
          <w:b/>
          <w:bCs/>
          <w:kern w:val="28"/>
        </w:rPr>
        <w:t>被保险人</w:t>
      </w:r>
    </w:p>
    <w:p>
      <w:pPr>
        <w:pStyle w:val="26"/>
        <w:tabs>
          <w:tab w:val="left" w:pos="851"/>
        </w:tabs>
        <w:rPr>
          <w:rFonts w:ascii="宋体" w:hAnsi="宋体" w:cs="仿宋_GB2312"/>
        </w:rPr>
      </w:pPr>
      <w:r>
        <w:rPr>
          <w:rFonts w:hint="eastAsia" w:ascii="宋体" w:hAnsi="宋体" w:cs="仿宋_GB2312"/>
        </w:rPr>
        <w:t>年龄在0至</w:t>
      </w:r>
      <w:r>
        <w:rPr>
          <w:rFonts w:ascii="宋体" w:hAnsi="宋体" w:cs="仿宋_GB2312"/>
        </w:rPr>
        <w:t>8</w:t>
      </w:r>
      <w:r>
        <w:rPr>
          <w:rFonts w:hint="eastAsia" w:ascii="宋体" w:hAnsi="宋体" w:cs="仿宋_GB2312"/>
        </w:rPr>
        <w:t>0周岁（含）（见释义）、身体健康、能正常工作、生活的自然人可作为本保险合同的被保险人。</w:t>
      </w:r>
    </w:p>
    <w:p>
      <w:pPr>
        <w:pStyle w:val="4"/>
      </w:pPr>
      <w:r>
        <w:rPr>
          <w:rFonts w:hint="eastAsia"/>
        </w:rPr>
        <w:t>1.</w:t>
      </w:r>
      <w:r>
        <w:t>3</w:t>
      </w:r>
      <w:r>
        <w:rPr>
          <w:rFonts w:hint="eastAsia"/>
        </w:rPr>
        <w:t>.1</w:t>
      </w:r>
      <w:r>
        <w:rPr>
          <w:rFonts w:hint="eastAsia"/>
        </w:rPr>
        <w:tab/>
      </w:r>
      <w:r>
        <w:rPr>
          <w:rFonts w:hint="eastAsia"/>
        </w:rPr>
        <w:t>被保资格的获得</w:t>
      </w:r>
      <w:bookmarkStart w:id="0" w:name="_GoBack"/>
      <w:bookmarkEnd w:id="0"/>
    </w:p>
    <w:p>
      <w:pPr>
        <w:pStyle w:val="26"/>
        <w:tabs>
          <w:tab w:val="left" w:pos="851"/>
        </w:tabs>
        <w:rPr>
          <w:rFonts w:ascii="宋体" w:hAnsi="宋体" w:cs="仿宋_GB2312"/>
        </w:rPr>
      </w:pPr>
      <w:r>
        <w:rPr>
          <w:rFonts w:hint="eastAsia" w:ascii="宋体" w:hAnsi="宋体"/>
          <w:szCs w:val="21"/>
        </w:rPr>
        <w:t>无论本保险合同为首次投保、续保还是非续保的，被保险人获得被保资格的日期均以以下两者中较晚的日期为准：（1）本保险合同的保险期间起始日；（2）本保险合同项下增加该被保险人批单所载生效日，有多张批单增加该被保险人的，以最晚批单所载生效日为准</w:t>
      </w:r>
      <w:r>
        <w:rPr>
          <w:rFonts w:hint="eastAsia" w:ascii="宋体" w:hAnsi="宋体" w:cs="仿宋_GB2312"/>
        </w:rPr>
        <w:t>。</w:t>
      </w:r>
    </w:p>
    <w:p>
      <w:pPr>
        <w:pStyle w:val="4"/>
      </w:pPr>
      <w:r>
        <w:rPr>
          <w:rFonts w:hint="eastAsia"/>
        </w:rPr>
        <w:t>1.</w:t>
      </w:r>
      <w:r>
        <w:t>3</w:t>
      </w:r>
      <w:r>
        <w:rPr>
          <w:rFonts w:hint="eastAsia"/>
        </w:rPr>
        <w:t>.2</w:t>
      </w:r>
      <w:r>
        <w:rPr>
          <w:rFonts w:hint="eastAsia"/>
        </w:rPr>
        <w:tab/>
      </w:r>
      <w:r>
        <w:rPr>
          <w:rFonts w:hint="eastAsia"/>
        </w:rPr>
        <w:t>被保资格的丧失或终止</w:t>
      </w:r>
    </w:p>
    <w:p>
      <w:pPr>
        <w:pStyle w:val="26"/>
        <w:ind w:left="945" w:leftChars="450"/>
        <w:rPr>
          <w:rFonts w:ascii="宋体" w:hAnsi="宋体"/>
          <w:b/>
          <w:szCs w:val="21"/>
        </w:rPr>
      </w:pPr>
      <w:r>
        <w:rPr>
          <w:rFonts w:hint="eastAsia" w:ascii="宋体" w:hAnsi="宋体"/>
          <w:szCs w:val="21"/>
        </w:rPr>
        <w:t>被保险人因非保险事故身故的，</w:t>
      </w:r>
      <w:r>
        <w:rPr>
          <w:rFonts w:hint="eastAsia" w:ascii="宋体" w:hAnsi="宋体"/>
          <w:b/>
          <w:szCs w:val="21"/>
        </w:rPr>
        <w:t>则自其身故之日起该被保险人的被保资格丧失，保险人对该被保险人所承担的保险责任随即终止。</w:t>
      </w:r>
    </w:p>
    <w:p>
      <w:pPr>
        <w:pStyle w:val="26"/>
        <w:ind w:left="945" w:leftChars="450"/>
        <w:rPr>
          <w:rFonts w:ascii="宋体" w:hAnsi="宋体" w:eastAsia="Times New Roman"/>
          <w:b/>
          <w:bCs/>
        </w:rPr>
      </w:pPr>
      <w:r>
        <w:rPr>
          <w:rFonts w:hint="eastAsia" w:ascii="宋体" w:hAnsi="宋体"/>
        </w:rPr>
        <w:t>本保险合同保险期间终止，</w:t>
      </w:r>
      <w:r>
        <w:rPr>
          <w:rFonts w:hint="eastAsia" w:ascii="宋体" w:hAnsi="宋体"/>
          <w:b/>
          <w:bCs/>
        </w:rPr>
        <w:t>则被保险人的被保资格随保险期间终止而终止，保险人对被保险人所承担的保险责任随即终止。</w:t>
      </w:r>
    </w:p>
    <w:p>
      <w:pPr>
        <w:pStyle w:val="26"/>
        <w:tabs>
          <w:tab w:val="left" w:pos="851"/>
        </w:tabs>
        <w:ind w:left="945" w:leftChars="450"/>
        <w:rPr>
          <w:rFonts w:ascii="宋体" w:hAnsi="宋体" w:cs="仿宋_GB2312"/>
          <w:b/>
        </w:rPr>
      </w:pPr>
      <w:r>
        <w:rPr>
          <w:rFonts w:hint="eastAsia" w:ascii="宋体" w:hAnsi="宋体"/>
        </w:rPr>
        <w:t>本保险合同解除，</w:t>
      </w:r>
      <w:r>
        <w:rPr>
          <w:rFonts w:hint="eastAsia" w:ascii="宋体" w:hAnsi="宋体"/>
          <w:b/>
          <w:bCs/>
        </w:rPr>
        <w:t>则自解除之日起被保险人的被保资格终止，保险人对被保险人所承担的保险责任随即终止</w:t>
      </w:r>
      <w:r>
        <w:rPr>
          <w:rFonts w:hint="eastAsia" w:ascii="宋体" w:hAnsi="宋体" w:cs="仿宋_GB2312"/>
          <w:b/>
        </w:rPr>
        <w:t>。</w:t>
      </w:r>
    </w:p>
    <w:p>
      <w:pPr>
        <w:pStyle w:val="3"/>
      </w:pPr>
      <w:r>
        <w:rPr>
          <w:rFonts w:hint="eastAsia"/>
        </w:rPr>
        <w:t>1.</w:t>
      </w:r>
      <w:r>
        <w:t>4</w:t>
      </w:r>
      <w:r>
        <w:rPr>
          <w:rFonts w:hint="eastAsia"/>
        </w:rPr>
        <w:tab/>
      </w:r>
      <w:r>
        <w:rPr>
          <w:rFonts w:hint="eastAsia"/>
        </w:rPr>
        <w:t>受益人</w:t>
      </w:r>
    </w:p>
    <w:p>
      <w:pPr>
        <w:pStyle w:val="26"/>
        <w:ind w:left="945" w:leftChars="450"/>
        <w:rPr>
          <w:rFonts w:ascii="宋体" w:hAnsi="宋体"/>
          <w:szCs w:val="21"/>
        </w:rPr>
      </w:pPr>
      <w:r>
        <w:rPr>
          <w:rFonts w:hint="eastAsia" w:ascii="宋体" w:hAnsi="宋体"/>
          <w:szCs w:val="21"/>
        </w:rPr>
        <w:t>订立本保险合同时，被保险人或投保人可指定一人或数人为本保险合同的身故保险金受益人。身故保险金受益人为数人时，应确定其受益顺序和受益份额；未确定受益份额的，各身故保险金受益人按照相等份额享有受益权。</w:t>
      </w:r>
    </w:p>
    <w:p>
      <w:pPr>
        <w:pStyle w:val="26"/>
        <w:ind w:left="945" w:leftChars="450"/>
        <w:rPr>
          <w:rFonts w:ascii="宋体" w:hAnsi="宋体"/>
          <w:szCs w:val="21"/>
        </w:rPr>
      </w:pPr>
      <w:r>
        <w:rPr>
          <w:rFonts w:hint="eastAsia" w:ascii="宋体" w:hAnsi="宋体"/>
          <w:szCs w:val="21"/>
        </w:rPr>
        <w:t>除另有</w:t>
      </w:r>
      <w:r>
        <w:rPr>
          <w:rFonts w:ascii="宋体" w:hAnsi="宋体"/>
          <w:szCs w:val="21"/>
        </w:rPr>
        <w:t>约定未</w:t>
      </w:r>
      <w:r>
        <w:rPr>
          <w:rFonts w:hint="eastAsia" w:ascii="宋体" w:hAnsi="宋体"/>
          <w:szCs w:val="21"/>
        </w:rPr>
        <w:t>外</w:t>
      </w:r>
      <w:r>
        <w:rPr>
          <w:rFonts w:ascii="宋体" w:hAnsi="宋体"/>
          <w:szCs w:val="21"/>
        </w:rPr>
        <w:t>，</w:t>
      </w:r>
      <w:r>
        <w:rPr>
          <w:rFonts w:hint="eastAsia" w:ascii="宋体" w:hAnsi="宋体"/>
          <w:szCs w:val="21"/>
        </w:rPr>
        <w:t>本保险合同的伤残保险金受益人为被保险人本人。</w:t>
      </w:r>
    </w:p>
    <w:p>
      <w:pPr>
        <w:pStyle w:val="26"/>
        <w:ind w:left="945" w:leftChars="450"/>
        <w:rPr>
          <w:rFonts w:ascii="宋体" w:hAnsi="宋体"/>
          <w:szCs w:val="21"/>
        </w:rPr>
      </w:pPr>
      <w:r>
        <w:rPr>
          <w:rFonts w:hint="eastAsia" w:ascii="宋体" w:hAnsi="宋体"/>
          <w:szCs w:val="21"/>
        </w:rPr>
        <w:t>被保险人或投保人可以变更保险金受益人，但需书面通知保险人，由保险人在本保险合同上批注。</w:t>
      </w:r>
    </w:p>
    <w:p>
      <w:pPr>
        <w:pStyle w:val="26"/>
        <w:ind w:left="945" w:leftChars="450"/>
        <w:rPr>
          <w:rFonts w:ascii="宋体" w:hAnsi="宋体"/>
          <w:szCs w:val="21"/>
        </w:rPr>
      </w:pPr>
      <w:r>
        <w:rPr>
          <w:rFonts w:hint="eastAsia" w:ascii="宋体" w:hAnsi="宋体"/>
          <w:szCs w:val="21"/>
        </w:rPr>
        <w:t>投保人指定或变更保险金受益人的，应经被保险人同意。被保险人不具有完全民事行为能力的，应由其监护人指定或变更保险金受益人。</w:t>
      </w:r>
    </w:p>
    <w:p>
      <w:pPr>
        <w:pStyle w:val="26"/>
        <w:ind w:firstLineChars="0"/>
        <w:rPr>
          <w:rFonts w:ascii="宋体" w:hAnsi="宋体"/>
          <w:b/>
          <w:szCs w:val="21"/>
        </w:rPr>
      </w:pPr>
      <w:r>
        <w:rPr>
          <w:rFonts w:hint="eastAsia" w:ascii="Arial" w:hAnsi="Arial" w:cs="Arial"/>
          <w:b/>
          <w:color w:val="000000"/>
          <w:szCs w:val="21"/>
        </w:rPr>
        <w:t>受益人故意造成被保险人死亡、伤残、疾病的，或者故意杀害被保险人未遂的，该受益人丧失受益权。</w:t>
      </w:r>
    </w:p>
    <w:p>
      <w:pPr>
        <w:pStyle w:val="2"/>
      </w:pPr>
      <w:r>
        <w:rPr>
          <w:rFonts w:hint="eastAsia"/>
        </w:rPr>
        <w:t>2</w:t>
      </w:r>
      <w:r>
        <w:rPr>
          <w:rFonts w:hint="eastAsia"/>
        </w:rPr>
        <w:tab/>
      </w:r>
      <w:r>
        <w:rPr>
          <w:rFonts w:hint="eastAsia"/>
        </w:rPr>
        <w:t>保障内容</w:t>
      </w:r>
    </w:p>
    <w:p>
      <w:pPr>
        <w:pStyle w:val="3"/>
      </w:pPr>
      <w:r>
        <w:rPr>
          <w:rFonts w:hint="eastAsia"/>
        </w:rPr>
        <w:t>2.1</w:t>
      </w:r>
      <w:r>
        <w:rPr>
          <w:rFonts w:hint="eastAsia"/>
        </w:rPr>
        <w:tab/>
      </w:r>
      <w:r>
        <w:rPr>
          <w:rFonts w:hint="eastAsia"/>
        </w:rPr>
        <w:t>预防</w:t>
      </w:r>
      <w:r>
        <w:t>接种</w:t>
      </w:r>
      <w:r>
        <w:rPr>
          <w:rFonts w:hint="eastAsia"/>
        </w:rPr>
        <w:t>意外</w:t>
      </w:r>
    </w:p>
    <w:p>
      <w:pPr>
        <w:pStyle w:val="20"/>
        <w:tabs>
          <w:tab w:val="clear" w:pos="840"/>
        </w:tabs>
        <w:ind w:left="840" w:leftChars="400" w:firstLine="420"/>
        <w:rPr>
          <w:b w:val="0"/>
        </w:rPr>
      </w:pPr>
      <w:r>
        <w:rPr>
          <w:rFonts w:hint="eastAsia"/>
          <w:b w:val="0"/>
        </w:rPr>
        <w:t>下列</w:t>
      </w:r>
      <w:r>
        <w:rPr>
          <w:rFonts w:hint="eastAsia"/>
        </w:rPr>
        <w:t>预防接种（见释义）</w:t>
      </w:r>
      <w:r>
        <w:rPr>
          <w:rFonts w:hint="eastAsia"/>
          <w:b w:val="0"/>
        </w:rPr>
        <w:t>意外中，2.1.1为必选预防接种</w:t>
      </w:r>
      <w:r>
        <w:rPr>
          <w:b w:val="0"/>
        </w:rPr>
        <w:t>意外；</w:t>
      </w:r>
      <w:r>
        <w:rPr>
          <w:rFonts w:hint="eastAsia"/>
          <w:b w:val="0"/>
        </w:rPr>
        <w:t>投保人在选择</w:t>
      </w:r>
      <w:r>
        <w:rPr>
          <w:b w:val="0"/>
        </w:rPr>
        <w:t>投保</w:t>
      </w:r>
      <w:r>
        <w:rPr>
          <w:rFonts w:hint="eastAsia"/>
          <w:b w:val="0"/>
        </w:rPr>
        <w:t>2.1.1的</w:t>
      </w:r>
      <w:r>
        <w:rPr>
          <w:b w:val="0"/>
        </w:rPr>
        <w:t>基础上，</w:t>
      </w:r>
      <w:r>
        <w:rPr>
          <w:rFonts w:hint="eastAsia"/>
          <w:b w:val="0"/>
        </w:rPr>
        <w:t>可以在2.1.2、2.1.3、2.1.4、2.1.5中再选择投保一项或多项预防</w:t>
      </w:r>
      <w:r>
        <w:rPr>
          <w:b w:val="0"/>
        </w:rPr>
        <w:t>接种</w:t>
      </w:r>
      <w:r>
        <w:rPr>
          <w:rFonts w:hint="eastAsia"/>
          <w:b w:val="0"/>
        </w:rPr>
        <w:t>意外，并在保险单中载明。</w:t>
      </w:r>
    </w:p>
    <w:p>
      <w:pPr>
        <w:pStyle w:val="4"/>
      </w:pPr>
      <w:r>
        <w:rPr>
          <w:rFonts w:hint="eastAsia"/>
        </w:rPr>
        <w:t>2.1.1</w:t>
      </w:r>
      <w:r>
        <w:rPr>
          <w:rFonts w:hint="eastAsia"/>
        </w:rPr>
        <w:tab/>
      </w:r>
      <w:r>
        <w:rPr>
          <w:rFonts w:hint="eastAsia"/>
        </w:rPr>
        <w:t>预防接种</w:t>
      </w:r>
      <w:r>
        <w:t>异常反应</w:t>
      </w:r>
    </w:p>
    <w:p>
      <w:pPr>
        <w:pStyle w:val="20"/>
        <w:tabs>
          <w:tab w:val="clear" w:pos="840"/>
        </w:tabs>
        <w:ind w:left="840" w:leftChars="400" w:firstLine="420"/>
        <w:rPr>
          <w:b w:val="0"/>
        </w:rPr>
      </w:pPr>
      <w:r>
        <w:rPr>
          <w:rFonts w:hint="eastAsia"/>
          <w:b w:val="0"/>
        </w:rPr>
        <w:t>指合格的</w:t>
      </w:r>
      <w:r>
        <w:rPr>
          <w:rFonts w:hint="eastAsia"/>
        </w:rPr>
        <w:t>疫苗（见释义）</w:t>
      </w:r>
      <w:r>
        <w:rPr>
          <w:rFonts w:hint="eastAsia"/>
          <w:b w:val="0"/>
        </w:rPr>
        <w:t>在实施规范接种过程中或者实施规范接种后造成受种者机体组织器官、功能损害，相关各方均无过错的药品不良反应。</w:t>
      </w:r>
    </w:p>
    <w:p>
      <w:pPr>
        <w:pStyle w:val="20"/>
        <w:tabs>
          <w:tab w:val="clear" w:pos="840"/>
        </w:tabs>
        <w:ind w:left="840" w:leftChars="400" w:firstLine="420"/>
        <w:rPr>
          <w:b w:val="0"/>
        </w:rPr>
      </w:pPr>
      <w:r>
        <w:rPr>
          <w:rFonts w:hint="eastAsia"/>
          <w:b w:val="0"/>
        </w:rPr>
        <w:t>预防接种异常反应的判定，以预防接种异常反应调查诊断结论或者根据</w:t>
      </w:r>
      <w:r>
        <w:rPr>
          <w:rFonts w:hint="eastAsia"/>
        </w:rPr>
        <w:t>《预防接种异常反应鉴定办法》</w:t>
      </w:r>
      <w:r>
        <w:rPr>
          <w:rFonts w:hint="eastAsia"/>
          <w:b w:val="0"/>
        </w:rPr>
        <w:t>（见释义，以下简称“《鉴定办法》”）进行的预防接种异常反应鉴定结论为准。</w:t>
      </w:r>
    </w:p>
    <w:p>
      <w:pPr>
        <w:pStyle w:val="4"/>
      </w:pPr>
      <w:r>
        <w:t>2.1.2</w:t>
      </w:r>
      <w:r>
        <w:tab/>
      </w:r>
      <w:r>
        <w:rPr>
          <w:rFonts w:hint="eastAsia"/>
        </w:rPr>
        <w:t>预防接种偶合症</w:t>
      </w:r>
    </w:p>
    <w:p>
      <w:pPr>
        <w:adjustRightInd w:val="0"/>
        <w:snapToGrid w:val="0"/>
        <w:ind w:left="840" w:leftChars="400" w:firstLine="420"/>
        <w:rPr>
          <w:rFonts w:ascii="宋体" w:hAnsi="宋体"/>
        </w:rPr>
      </w:pPr>
      <w:r>
        <w:rPr>
          <w:rFonts w:hint="eastAsia" w:ascii="宋体" w:hAnsi="宋体"/>
        </w:rPr>
        <w:t>指受种者在接种时正处于某种疾病的潜伏期或者前驱期，接种后巧合发病。</w:t>
      </w:r>
    </w:p>
    <w:p>
      <w:pPr>
        <w:adjustRightInd w:val="0"/>
        <w:snapToGrid w:val="0"/>
        <w:ind w:left="840" w:leftChars="400" w:firstLine="420"/>
        <w:rPr>
          <w:rFonts w:ascii="宋体" w:hAnsi="宋体"/>
        </w:rPr>
      </w:pPr>
      <w:r>
        <w:rPr>
          <w:rFonts w:hint="eastAsia" w:ascii="宋体" w:hAnsi="宋体"/>
        </w:rPr>
        <w:t>偶合症的判定，以预防接种异常反应调查诊断结论或者根据《鉴定办法》进行的预防接种异常反应鉴定结论为准。</w:t>
      </w:r>
    </w:p>
    <w:p>
      <w:pPr>
        <w:pStyle w:val="4"/>
      </w:pPr>
      <w:r>
        <w:t>2</w:t>
      </w:r>
      <w:r>
        <w:rPr>
          <w:rFonts w:hint="eastAsia"/>
        </w:rPr>
        <w:t>.</w:t>
      </w:r>
      <w:r>
        <w:t>1.3</w:t>
      </w:r>
      <w:r>
        <w:rPr>
          <w:rFonts w:hint="eastAsia"/>
        </w:rPr>
        <w:tab/>
      </w:r>
      <w:r>
        <w:rPr>
          <w:rFonts w:hint="eastAsia"/>
        </w:rPr>
        <w:t>预防接种一般反应</w:t>
      </w:r>
    </w:p>
    <w:p>
      <w:pPr>
        <w:adjustRightInd w:val="0"/>
        <w:snapToGrid w:val="0"/>
        <w:ind w:left="840" w:leftChars="400" w:firstLine="420"/>
        <w:rPr>
          <w:rFonts w:ascii="宋体" w:hAnsi="宋体"/>
        </w:rPr>
      </w:pPr>
      <w:r>
        <w:rPr>
          <w:rFonts w:hint="eastAsia" w:ascii="宋体" w:hAnsi="宋体"/>
        </w:rPr>
        <w:t>指在预防接种后发生的，由疫苗本身所固有的特性引起的，对机体只会造成一过性生理功能障碍的反应，主要有发热和局部红肿，同时可能伴有全身不适、倦怠、食欲不振、乏力等综合症状。</w:t>
      </w:r>
    </w:p>
    <w:p>
      <w:pPr>
        <w:pStyle w:val="4"/>
      </w:pPr>
      <w:r>
        <w:t>2.1.4</w:t>
      </w:r>
      <w:r>
        <w:rPr>
          <w:rFonts w:hint="eastAsia"/>
        </w:rPr>
        <w:tab/>
      </w:r>
      <w:r>
        <w:rPr>
          <w:rFonts w:hint="eastAsia"/>
        </w:rPr>
        <w:t>预防接种事故</w:t>
      </w:r>
    </w:p>
    <w:p>
      <w:pPr>
        <w:adjustRightInd w:val="0"/>
        <w:snapToGrid w:val="0"/>
        <w:ind w:left="840" w:leftChars="400" w:firstLine="420"/>
        <w:rPr>
          <w:rFonts w:ascii="宋体" w:hAnsi="宋体"/>
        </w:rPr>
      </w:pPr>
      <w:r>
        <w:rPr>
          <w:rFonts w:hint="eastAsia" w:ascii="宋体" w:hAnsi="宋体"/>
        </w:rPr>
        <w:t>指由于在预防接种实施过程中违反预防接种工作规范、免疫程序、疫苗使用指导原则、接种方案，造成受种者机体组织器官、功能损害。</w:t>
      </w:r>
    </w:p>
    <w:p>
      <w:pPr>
        <w:adjustRightInd w:val="0"/>
        <w:snapToGrid w:val="0"/>
        <w:ind w:left="840" w:leftChars="400" w:firstLine="420"/>
        <w:rPr>
          <w:rFonts w:ascii="宋体" w:hAnsi="宋体"/>
        </w:rPr>
      </w:pPr>
      <w:r>
        <w:rPr>
          <w:rFonts w:hint="eastAsia" w:ascii="宋体" w:hAnsi="宋体"/>
        </w:rPr>
        <w:t>预防接种事故的判定，以预防接种异常反应调查诊断结论或者根据《鉴定办法》进行的预防接种异常反应鉴定结论、医疗事故技术鉴定结论为准。</w:t>
      </w:r>
    </w:p>
    <w:p>
      <w:pPr>
        <w:pStyle w:val="4"/>
      </w:pPr>
      <w:r>
        <w:t>2.1.5</w:t>
      </w:r>
      <w:r>
        <w:tab/>
      </w:r>
      <w:r>
        <w:rPr>
          <w:rFonts w:hint="eastAsia"/>
        </w:rPr>
        <w:t>疫苗</w:t>
      </w:r>
      <w:r>
        <w:t>质量事故</w:t>
      </w:r>
    </w:p>
    <w:p>
      <w:pPr>
        <w:adjustRightInd w:val="0"/>
        <w:snapToGrid w:val="0"/>
        <w:ind w:left="840" w:leftChars="400" w:firstLine="420"/>
        <w:rPr>
          <w:rFonts w:ascii="宋体" w:hAnsi="宋体"/>
        </w:rPr>
      </w:pPr>
      <w:r>
        <w:rPr>
          <w:rFonts w:hint="eastAsia" w:ascii="宋体" w:hAnsi="宋体"/>
        </w:rPr>
        <w:t>指由于疫苗质量不合格，接种后造成受种者机体组织器官、功能损害。</w:t>
      </w:r>
    </w:p>
    <w:p>
      <w:pPr>
        <w:adjustRightInd w:val="0"/>
        <w:snapToGrid w:val="0"/>
        <w:ind w:left="840" w:leftChars="400" w:firstLine="420"/>
        <w:rPr>
          <w:rFonts w:ascii="宋体" w:hAnsi="宋体"/>
        </w:rPr>
      </w:pPr>
      <w:r>
        <w:rPr>
          <w:rFonts w:hint="eastAsia" w:ascii="宋体" w:hAnsi="宋体"/>
        </w:rPr>
        <w:t>疫苗质量事故的判定，以预防接种异常反应调查诊断结论或者根据《鉴定办法》进行的预防接种异常反应鉴定结论、药品监督管理部门出具的疫苗质量检验结果报告为准。</w:t>
      </w:r>
    </w:p>
    <w:p>
      <w:pPr>
        <w:pStyle w:val="3"/>
      </w:pPr>
      <w:r>
        <w:rPr>
          <w:rFonts w:hint="eastAsia"/>
        </w:rPr>
        <w:t>2.</w:t>
      </w:r>
      <w:r>
        <w:t>2</w:t>
      </w:r>
      <w:r>
        <w:rPr>
          <w:rFonts w:hint="eastAsia"/>
        </w:rPr>
        <w:tab/>
      </w:r>
      <w:r>
        <w:rPr>
          <w:rFonts w:hint="eastAsia"/>
        </w:rPr>
        <w:t>保险责任</w:t>
      </w:r>
    </w:p>
    <w:p>
      <w:pPr>
        <w:pStyle w:val="20"/>
        <w:tabs>
          <w:tab w:val="clear" w:pos="840"/>
        </w:tabs>
        <w:ind w:left="840" w:leftChars="400" w:firstLine="420"/>
        <w:rPr>
          <w:b w:val="0"/>
        </w:rPr>
      </w:pPr>
      <w:r>
        <w:rPr>
          <w:rFonts w:hint="eastAsia"/>
          <w:b w:val="0"/>
        </w:rPr>
        <w:t>被保险人自获得被保资格之日起，在保险</w:t>
      </w:r>
      <w:r>
        <w:rPr>
          <w:b w:val="0"/>
        </w:rPr>
        <w:t>期间内</w:t>
      </w:r>
      <w:r>
        <w:rPr>
          <w:rFonts w:hint="eastAsia"/>
          <w:b w:val="0"/>
        </w:rPr>
        <w:t>经人民政府卫生主管部门指定的预防</w:t>
      </w:r>
      <w:r>
        <w:rPr>
          <w:b w:val="0"/>
        </w:rPr>
        <w:t>接种单位</w:t>
      </w:r>
      <w:r>
        <w:rPr>
          <w:rFonts w:hint="eastAsia"/>
          <w:b w:val="0"/>
        </w:rPr>
        <w:t>接种本保险合同约定的疫苗（若保险合同未载明约定疫苗的具体种类，则视为所有符合释义9.3的疫苗），且在保险</w:t>
      </w:r>
      <w:r>
        <w:rPr>
          <w:b w:val="0"/>
        </w:rPr>
        <w:t>期间内</w:t>
      </w:r>
      <w:r>
        <w:rPr>
          <w:rFonts w:hint="eastAsia"/>
          <w:b w:val="0"/>
        </w:rPr>
        <w:t>发生保险单</w:t>
      </w:r>
      <w:r>
        <w:rPr>
          <w:b w:val="0"/>
        </w:rPr>
        <w:t>载明的</w:t>
      </w:r>
      <w:r>
        <w:rPr>
          <w:rFonts w:hint="eastAsia"/>
          <w:b w:val="0"/>
        </w:rPr>
        <w:t>预防接种意外并导致身故、伤残的，保险人依照下列2.</w:t>
      </w:r>
      <w:r>
        <w:rPr>
          <w:b w:val="0"/>
        </w:rPr>
        <w:t>2</w:t>
      </w:r>
      <w:r>
        <w:rPr>
          <w:rFonts w:hint="eastAsia"/>
          <w:b w:val="0"/>
        </w:rPr>
        <w:t>.1、2.</w:t>
      </w:r>
      <w:r>
        <w:rPr>
          <w:b w:val="0"/>
        </w:rPr>
        <w:t>2</w:t>
      </w:r>
      <w:r>
        <w:rPr>
          <w:rFonts w:hint="eastAsia"/>
          <w:b w:val="0"/>
        </w:rPr>
        <w:t>.2的约定给付保险金。</w:t>
      </w:r>
    </w:p>
    <w:p>
      <w:pPr>
        <w:pStyle w:val="20"/>
        <w:tabs>
          <w:tab w:val="clear" w:pos="840"/>
        </w:tabs>
        <w:ind w:left="840" w:leftChars="400" w:firstLine="420"/>
        <w:rPr>
          <w:b w:val="0"/>
        </w:rPr>
      </w:pPr>
      <w:r>
        <w:rPr>
          <w:b w:val="0"/>
        </w:rPr>
        <w:t>其中</w:t>
      </w:r>
      <w:r>
        <w:rPr>
          <w:rFonts w:hint="eastAsia"/>
          <w:b w:val="0"/>
        </w:rPr>
        <w:t>2.</w:t>
      </w:r>
      <w:r>
        <w:rPr>
          <w:b w:val="0"/>
        </w:rPr>
        <w:t>2</w:t>
      </w:r>
      <w:r>
        <w:rPr>
          <w:rFonts w:hint="eastAsia"/>
          <w:b w:val="0"/>
        </w:rPr>
        <w:t>.1为</w:t>
      </w:r>
      <w:r>
        <w:rPr>
          <w:b w:val="0"/>
        </w:rPr>
        <w:t>必选保险责任，在选择投保</w:t>
      </w:r>
      <w:r>
        <w:rPr>
          <w:rFonts w:hint="eastAsia"/>
          <w:b w:val="0"/>
        </w:rPr>
        <w:t>2.</w:t>
      </w:r>
      <w:r>
        <w:rPr>
          <w:b w:val="0"/>
        </w:rPr>
        <w:t>2</w:t>
      </w:r>
      <w:r>
        <w:rPr>
          <w:rFonts w:hint="eastAsia"/>
          <w:b w:val="0"/>
        </w:rPr>
        <w:t>.1的基础上可选择投保2.</w:t>
      </w:r>
      <w:r>
        <w:rPr>
          <w:b w:val="0"/>
        </w:rPr>
        <w:t>2</w:t>
      </w:r>
      <w:r>
        <w:rPr>
          <w:rFonts w:hint="eastAsia"/>
          <w:b w:val="0"/>
        </w:rPr>
        <w:t>.2，并在保险单中载明。</w:t>
      </w:r>
    </w:p>
    <w:p>
      <w:pPr>
        <w:pStyle w:val="4"/>
      </w:pPr>
      <w:r>
        <w:rPr>
          <w:rFonts w:hint="eastAsia"/>
        </w:rPr>
        <w:t>2.</w:t>
      </w:r>
      <w:r>
        <w:t>2</w:t>
      </w:r>
      <w:r>
        <w:rPr>
          <w:rFonts w:hint="eastAsia"/>
        </w:rPr>
        <w:t>.1</w:t>
      </w:r>
      <w:r>
        <w:rPr>
          <w:rFonts w:hint="eastAsia"/>
        </w:rPr>
        <w:tab/>
      </w:r>
      <w:r>
        <w:rPr>
          <w:rFonts w:hint="eastAsia"/>
        </w:rPr>
        <w:t>预防接种意外身故保险责任</w:t>
      </w:r>
    </w:p>
    <w:p>
      <w:pPr>
        <w:pStyle w:val="20"/>
        <w:tabs>
          <w:tab w:val="clear" w:pos="840"/>
        </w:tabs>
        <w:ind w:left="840" w:leftChars="400" w:firstLine="420"/>
        <w:rPr>
          <w:b w:val="0"/>
        </w:rPr>
      </w:pPr>
      <w:r>
        <w:rPr>
          <w:rFonts w:hint="eastAsia"/>
          <w:b w:val="0"/>
        </w:rPr>
        <w:t>被保险人自获得被保资格之日起，在保险</w:t>
      </w:r>
      <w:r>
        <w:rPr>
          <w:b w:val="0"/>
        </w:rPr>
        <w:t>期间内发生</w:t>
      </w:r>
      <w:r>
        <w:rPr>
          <w:rFonts w:hint="eastAsia"/>
          <w:b w:val="0"/>
        </w:rPr>
        <w:t>保险单</w:t>
      </w:r>
      <w:r>
        <w:rPr>
          <w:b w:val="0"/>
        </w:rPr>
        <w:t>载明的</w:t>
      </w:r>
      <w:r>
        <w:rPr>
          <w:rFonts w:hint="eastAsia"/>
          <w:b w:val="0"/>
        </w:rPr>
        <w:t>预防接种意外并自该预防接种意外发生之日起在特定期间内</w:t>
      </w:r>
      <w:r>
        <w:t>（该特定</w:t>
      </w:r>
      <w:r>
        <w:rPr>
          <w:rFonts w:hint="eastAsia"/>
        </w:rPr>
        <w:t>期间</w:t>
      </w:r>
      <w:r>
        <w:t>以保险</w:t>
      </w:r>
      <w:r>
        <w:rPr>
          <w:rFonts w:hint="eastAsia"/>
        </w:rPr>
        <w:t>单载明</w:t>
      </w:r>
      <w:r>
        <w:t>为准；若保险</w:t>
      </w:r>
      <w:r>
        <w:rPr>
          <w:rFonts w:hint="eastAsia"/>
        </w:rPr>
        <w:t>单</w:t>
      </w:r>
      <w:r>
        <w:t>未载明的则视为180日）</w:t>
      </w:r>
      <w:r>
        <w:rPr>
          <w:rFonts w:hint="eastAsia"/>
          <w:b w:val="0"/>
        </w:rPr>
        <w:t>因该预防接种意外身故的，保险人按照保险单载明的预防接种意外身故保险金额及对应</w:t>
      </w:r>
      <w:r>
        <w:rPr>
          <w:b w:val="0"/>
        </w:rPr>
        <w:t>的特定情形、特定</w:t>
      </w:r>
      <w:r>
        <w:rPr>
          <w:rFonts w:hint="eastAsia"/>
          <w:b w:val="0"/>
        </w:rPr>
        <w:t>给付方式给付预防接种意外身故保险金</w:t>
      </w:r>
      <w:r>
        <w:t>（该</w:t>
      </w:r>
      <w:r>
        <w:rPr>
          <w:rFonts w:hint="eastAsia"/>
        </w:rPr>
        <w:t>特定</w:t>
      </w:r>
      <w:r>
        <w:t>情形、特定</w:t>
      </w:r>
      <w:r>
        <w:rPr>
          <w:rFonts w:hint="eastAsia"/>
        </w:rPr>
        <w:t>给付</w:t>
      </w:r>
      <w:r>
        <w:t>方式以保险</w:t>
      </w:r>
      <w:r>
        <w:rPr>
          <w:rFonts w:hint="eastAsia"/>
        </w:rPr>
        <w:t>单载明</w:t>
      </w:r>
      <w:r>
        <w:t>为准；若保险</w:t>
      </w:r>
      <w:r>
        <w:rPr>
          <w:rFonts w:hint="eastAsia"/>
        </w:rPr>
        <w:t>单</w:t>
      </w:r>
      <w:r>
        <w:t>未载明的</w:t>
      </w:r>
      <w:r>
        <w:rPr>
          <w:rFonts w:hint="eastAsia"/>
        </w:rPr>
        <w:t>，</w:t>
      </w:r>
      <w:r>
        <w:t>则</w:t>
      </w:r>
      <w:r>
        <w:rPr>
          <w:rFonts w:hint="eastAsia"/>
        </w:rPr>
        <w:t>该</w:t>
      </w:r>
      <w:r>
        <w:t>情形</w:t>
      </w:r>
      <w:r>
        <w:rPr>
          <w:rFonts w:hint="eastAsia"/>
        </w:rPr>
        <w:t>视为符合本保险合同</w:t>
      </w:r>
      <w:r>
        <w:t>的</w:t>
      </w:r>
      <w:r>
        <w:rPr>
          <w:rFonts w:hint="eastAsia"/>
        </w:rPr>
        <w:t>保险责任、责任免除规定的任何情形，该</w:t>
      </w:r>
      <w:r>
        <w:t>给付方式视为</w:t>
      </w:r>
      <w:r>
        <w:rPr>
          <w:rFonts w:hint="eastAsia"/>
        </w:rPr>
        <w:t>按预防接种意外身故保险金额的</w:t>
      </w:r>
      <w:r>
        <w:t>100%</w:t>
      </w:r>
      <w:r>
        <w:rPr>
          <w:rFonts w:hint="eastAsia"/>
        </w:rPr>
        <w:t>给付</w:t>
      </w:r>
      <w:r>
        <w:t>）</w:t>
      </w:r>
      <w:r>
        <w:rPr>
          <w:rFonts w:hint="eastAsia"/>
          <w:b w:val="0"/>
        </w:rPr>
        <w:t>，对该被保险人的保险责任终止。</w:t>
      </w:r>
    </w:p>
    <w:p>
      <w:pPr>
        <w:pStyle w:val="4"/>
      </w:pPr>
      <w:r>
        <w:rPr>
          <w:rFonts w:hint="eastAsia"/>
        </w:rPr>
        <w:t>2.</w:t>
      </w:r>
      <w:r>
        <w:t>2</w:t>
      </w:r>
      <w:r>
        <w:rPr>
          <w:rFonts w:hint="eastAsia"/>
        </w:rPr>
        <w:t>.2</w:t>
      </w:r>
      <w:r>
        <w:rPr>
          <w:rFonts w:hint="eastAsia"/>
        </w:rPr>
        <w:tab/>
      </w:r>
      <w:r>
        <w:rPr>
          <w:rFonts w:hint="eastAsia"/>
        </w:rPr>
        <w:t>预防接种意外伤残保险责任</w:t>
      </w:r>
    </w:p>
    <w:p>
      <w:pPr>
        <w:pStyle w:val="20"/>
        <w:tabs>
          <w:tab w:val="clear" w:pos="840"/>
        </w:tabs>
        <w:ind w:left="840" w:leftChars="400" w:firstLine="420"/>
        <w:rPr>
          <w:b w:val="0"/>
        </w:rPr>
      </w:pPr>
      <w:r>
        <w:rPr>
          <w:rFonts w:hint="eastAsia"/>
          <w:b w:val="0"/>
        </w:rPr>
        <w:t>被保险人自获得被保资格之日起，在保险</w:t>
      </w:r>
      <w:r>
        <w:rPr>
          <w:b w:val="0"/>
        </w:rPr>
        <w:t>期间内</w:t>
      </w:r>
      <w:r>
        <w:rPr>
          <w:rFonts w:hint="eastAsia"/>
          <w:b w:val="0"/>
        </w:rPr>
        <w:t>发生保险单</w:t>
      </w:r>
      <w:r>
        <w:rPr>
          <w:b w:val="0"/>
        </w:rPr>
        <w:t>载明的</w:t>
      </w:r>
      <w:r>
        <w:rPr>
          <w:rFonts w:hint="eastAsia"/>
          <w:b w:val="0"/>
        </w:rPr>
        <w:t>预防接种意外并自该预防接种意外发生之日起在特定期间</w:t>
      </w:r>
      <w:r>
        <w:rPr>
          <w:b w:val="0"/>
        </w:rPr>
        <w:t>内（</w:t>
      </w:r>
      <w:r>
        <w:rPr>
          <w:rFonts w:hint="eastAsia"/>
        </w:rPr>
        <w:t>该特定期间以保险单载明为准；</w:t>
      </w:r>
      <w:r>
        <w:t>若保险</w:t>
      </w:r>
      <w:r>
        <w:rPr>
          <w:rFonts w:hint="eastAsia"/>
        </w:rPr>
        <w:t>单</w:t>
      </w:r>
      <w:r>
        <w:t>未载明的则视为180日</w:t>
      </w:r>
      <w:r>
        <w:rPr>
          <w:b w:val="0"/>
        </w:rPr>
        <w:t>）</w:t>
      </w:r>
      <w:r>
        <w:rPr>
          <w:rFonts w:hint="eastAsia"/>
          <w:b w:val="0"/>
        </w:rPr>
        <w:t>因该预防接种意外造成</w:t>
      </w:r>
      <w:r>
        <w:rPr>
          <w:rFonts w:hint="eastAsia"/>
        </w:rPr>
        <w:t>《</w:t>
      </w:r>
      <w:r>
        <w:t>预防接种</w:t>
      </w:r>
      <w:r>
        <w:rPr>
          <w:rFonts w:hint="eastAsia"/>
        </w:rPr>
        <w:t>意外伤残等级程度与保险金给付比例表</w:t>
      </w:r>
      <w:r>
        <w:t>》</w:t>
      </w:r>
      <w:r>
        <w:rPr>
          <w:rFonts w:hint="eastAsia"/>
          <w:b w:val="0"/>
        </w:rPr>
        <w:t>（见</w:t>
      </w:r>
      <w:r>
        <w:rPr>
          <w:b w:val="0"/>
        </w:rPr>
        <w:t>附表，以下简称《给付</w:t>
      </w:r>
      <w:r>
        <w:rPr>
          <w:rFonts w:hint="eastAsia"/>
          <w:b w:val="0"/>
        </w:rPr>
        <w:t>比例</w:t>
      </w:r>
      <w:r>
        <w:rPr>
          <w:b w:val="0"/>
        </w:rPr>
        <w:t>表》</w:t>
      </w:r>
      <w:r>
        <w:rPr>
          <w:rFonts w:hint="eastAsia"/>
          <w:b w:val="0"/>
        </w:rPr>
        <w:t>）所列情形、等级程度之一的，</w:t>
      </w:r>
      <w:r>
        <w:rPr>
          <w:rFonts w:hint="eastAsia"/>
        </w:rPr>
        <w:t>保险人按照《给付比例表》中所对应的伤残给付比例乘以保险单载明的预防接种意外伤残保险金额给付预防接种意外伤残保险金；如在</w:t>
      </w:r>
      <w:r>
        <w:t>上述特</w:t>
      </w:r>
      <w:r>
        <w:rPr>
          <w:rFonts w:hint="eastAsia"/>
        </w:rPr>
        <w:t>定</w:t>
      </w:r>
      <w:r>
        <w:t>期间内</w:t>
      </w:r>
      <w:r>
        <w:rPr>
          <w:rFonts w:hint="eastAsia"/>
        </w:rPr>
        <w:t>治疗仍未结束的，按</w:t>
      </w:r>
      <w:r>
        <w:t>上述特</w:t>
      </w:r>
      <w:r>
        <w:rPr>
          <w:rFonts w:hint="eastAsia"/>
        </w:rPr>
        <w:t>定</w:t>
      </w:r>
      <w:r>
        <w:t>期间</w:t>
      </w:r>
      <w:r>
        <w:rPr>
          <w:rFonts w:hint="eastAsia"/>
        </w:rPr>
        <w:t>终止</w:t>
      </w:r>
      <w:r>
        <w:t>日期</w:t>
      </w:r>
      <w:r>
        <w:rPr>
          <w:rFonts w:hint="eastAsia"/>
        </w:rPr>
        <w:t>当日的身体情况进行评定，并据此给付预防接种意外伤残保险金</w:t>
      </w:r>
      <w:r>
        <w:rPr>
          <w:rFonts w:hint="eastAsia"/>
          <w:b w:val="0"/>
        </w:rPr>
        <w:t>。</w:t>
      </w:r>
    </w:p>
    <w:p>
      <w:pPr>
        <w:pStyle w:val="20"/>
        <w:tabs>
          <w:tab w:val="clear" w:pos="840"/>
        </w:tabs>
        <w:ind w:left="840" w:leftChars="400" w:firstLine="420"/>
        <w:rPr>
          <w:b/>
          <w:bCs/>
        </w:rPr>
      </w:pPr>
      <w:r>
        <w:rPr>
          <w:rFonts w:hint="eastAsia"/>
          <w:b/>
          <w:bCs/>
        </w:rPr>
        <w:t>本保险合同附表</w:t>
      </w:r>
      <w:r>
        <w:rPr>
          <w:b/>
          <w:bCs/>
        </w:rPr>
        <w:t>所载</w:t>
      </w:r>
      <w:r>
        <w:rPr>
          <w:rFonts w:hint="eastAsia"/>
          <w:b/>
          <w:bCs/>
        </w:rPr>
        <w:t>《给付比例表》中的项目</w:t>
      </w:r>
      <w:r>
        <w:rPr>
          <w:b/>
          <w:bCs/>
        </w:rPr>
        <w:t>、</w:t>
      </w:r>
      <w:r>
        <w:rPr>
          <w:rFonts w:hint="eastAsia"/>
          <w:b/>
          <w:bCs/>
        </w:rPr>
        <w:t>伤残给付比例为基准伤残</w:t>
      </w:r>
      <w:r>
        <w:rPr>
          <w:b/>
          <w:bCs/>
        </w:rPr>
        <w:t>项目、</w:t>
      </w:r>
      <w:r>
        <w:rPr>
          <w:rFonts w:hint="eastAsia"/>
          <w:b/>
          <w:bCs/>
        </w:rPr>
        <w:t>基准伤残给付比例。经投保人、保险人双方约定，可对伤残</w:t>
      </w:r>
      <w:r>
        <w:rPr>
          <w:b/>
          <w:bCs/>
        </w:rPr>
        <w:t>项目、</w:t>
      </w:r>
      <w:r>
        <w:rPr>
          <w:rFonts w:hint="eastAsia"/>
          <w:b/>
          <w:bCs/>
        </w:rPr>
        <w:t>伤残给付比例进行</w:t>
      </w:r>
      <w:r>
        <w:rPr>
          <w:b/>
          <w:bCs/>
        </w:rPr>
        <w:t>调整</w:t>
      </w:r>
      <w:r>
        <w:rPr>
          <w:rFonts w:hint="eastAsia"/>
          <w:b/>
          <w:bCs/>
        </w:rPr>
        <w:t>，并在保险单中载明。经投保人、保险人双方约定，还可以使用其他的伤残</w:t>
      </w:r>
      <w:r>
        <w:rPr>
          <w:b/>
          <w:bCs/>
        </w:rPr>
        <w:t>评定标准、</w:t>
      </w:r>
      <w:r>
        <w:rPr>
          <w:rFonts w:hint="eastAsia"/>
          <w:b/>
          <w:bCs/>
        </w:rPr>
        <w:t>其他的《给付比例表》，</w:t>
      </w:r>
      <w:r>
        <w:rPr>
          <w:b/>
          <w:bCs/>
        </w:rPr>
        <w:t>并将</w:t>
      </w:r>
      <w:r>
        <w:rPr>
          <w:rFonts w:hint="eastAsia"/>
          <w:b/>
          <w:bCs/>
        </w:rPr>
        <w:t>约定使用</w:t>
      </w:r>
      <w:r>
        <w:rPr>
          <w:b/>
          <w:bCs/>
        </w:rPr>
        <w:t>的</w:t>
      </w:r>
      <w:r>
        <w:rPr>
          <w:rFonts w:hint="eastAsia"/>
          <w:b/>
          <w:bCs/>
        </w:rPr>
        <w:t>伤残</w:t>
      </w:r>
      <w:r>
        <w:rPr>
          <w:b/>
          <w:bCs/>
        </w:rPr>
        <w:t>评定标准</w:t>
      </w:r>
      <w:r>
        <w:rPr>
          <w:rFonts w:hint="eastAsia"/>
          <w:b/>
          <w:bCs/>
        </w:rPr>
        <w:t>全称</w:t>
      </w:r>
      <w:r>
        <w:rPr>
          <w:b/>
          <w:bCs/>
        </w:rPr>
        <w:t>、</w:t>
      </w:r>
      <w:r>
        <w:rPr>
          <w:rFonts w:hint="eastAsia"/>
          <w:b/>
          <w:bCs/>
        </w:rPr>
        <w:t>《给付比例表》全表在保险单中载明。</w:t>
      </w:r>
    </w:p>
    <w:p>
      <w:pPr>
        <w:pStyle w:val="20"/>
        <w:tabs>
          <w:tab w:val="clear" w:pos="840"/>
        </w:tabs>
        <w:ind w:left="840" w:leftChars="400" w:firstLine="420"/>
      </w:pPr>
      <w:r>
        <w:rPr>
          <w:rFonts w:hint="eastAsia"/>
        </w:rPr>
        <w:t>被保险人如在本次预防接种意外之前已有伤残，保险人按合并后的伤残程度在《给付比例表》中所对应的伤残给付比例中扣除原有伤残程度在《给付比例表》中对应</w:t>
      </w:r>
      <w:r>
        <w:t>的</w:t>
      </w:r>
      <w:r>
        <w:rPr>
          <w:rFonts w:hint="eastAsia"/>
        </w:rPr>
        <w:t>伤残给付比例，给付预防接种意外伤残保险金。</w:t>
      </w:r>
      <w:r>
        <w:t>如被保险人已有</w:t>
      </w:r>
      <w:r>
        <w:rPr>
          <w:rFonts w:hint="eastAsia"/>
        </w:rPr>
        <w:t>伤残</w:t>
      </w:r>
      <w:r>
        <w:t>无法与</w:t>
      </w:r>
      <w:r>
        <w:rPr>
          <w:rFonts w:hint="eastAsia"/>
        </w:rPr>
        <w:t>《给付比例表》中</w:t>
      </w:r>
      <w:r>
        <w:t>所载的</w:t>
      </w:r>
      <w:r>
        <w:rPr>
          <w:rFonts w:hint="eastAsia"/>
        </w:rPr>
        <w:t>伤残</w:t>
      </w:r>
      <w:r>
        <w:t>类型对应，</w:t>
      </w:r>
      <w:r>
        <w:rPr>
          <w:rFonts w:hint="eastAsia"/>
        </w:rPr>
        <w:t>预防接种</w:t>
      </w:r>
      <w:r>
        <w:t>意外</w:t>
      </w:r>
      <w:r>
        <w:rPr>
          <w:rFonts w:hint="eastAsia"/>
        </w:rPr>
        <w:t>伤残</w:t>
      </w:r>
      <w:r>
        <w:t>保险</w:t>
      </w:r>
      <w:r>
        <w:rPr>
          <w:rFonts w:hint="eastAsia"/>
        </w:rPr>
        <w:t>金</w:t>
      </w:r>
      <w:r>
        <w:t>的给付方式以保险</w:t>
      </w:r>
      <w:r>
        <w:rPr>
          <w:rFonts w:hint="eastAsia"/>
        </w:rPr>
        <w:t>单</w:t>
      </w:r>
      <w:r>
        <w:t>载明</w:t>
      </w:r>
      <w:r>
        <w:rPr>
          <w:rFonts w:hint="eastAsia"/>
        </w:rPr>
        <w:t>为准</w:t>
      </w:r>
      <w:r>
        <w:t>；若保险</w:t>
      </w:r>
      <w:r>
        <w:rPr>
          <w:rFonts w:hint="eastAsia"/>
        </w:rPr>
        <w:t>单</w:t>
      </w:r>
      <w:r>
        <w:t>未载明的</w:t>
      </w:r>
      <w:r>
        <w:rPr>
          <w:rFonts w:hint="eastAsia"/>
        </w:rPr>
        <w:t>，保险人按合并后的伤残程度在《给付比例表》中所对应的伤残给付比例给付预防接种意外伤残保险金。</w:t>
      </w:r>
    </w:p>
    <w:p>
      <w:pPr>
        <w:pStyle w:val="3"/>
      </w:pPr>
      <w:r>
        <w:rPr>
          <w:rFonts w:hint="eastAsia"/>
        </w:rPr>
        <w:t>2.3</w:t>
      </w:r>
      <w:r>
        <w:rPr>
          <w:rFonts w:hint="eastAsia"/>
        </w:rPr>
        <w:tab/>
      </w:r>
      <w:r>
        <w:rPr>
          <w:rFonts w:hint="eastAsia"/>
        </w:rPr>
        <w:t>责任免除</w:t>
      </w:r>
    </w:p>
    <w:p>
      <w:pPr>
        <w:pStyle w:val="20"/>
        <w:tabs>
          <w:tab w:val="clear" w:pos="840"/>
        </w:tabs>
        <w:ind w:left="840" w:leftChars="400" w:firstLine="420"/>
      </w:pPr>
      <w:r>
        <w:rPr>
          <w:rFonts w:hint="eastAsia"/>
        </w:rPr>
        <w:t>因下列情形之一，导致被保险人身故或伤残的，保险人不承担给付保险金责任：</w:t>
      </w:r>
    </w:p>
    <w:p>
      <w:pPr>
        <w:pStyle w:val="20"/>
        <w:numPr>
          <w:ilvl w:val="0"/>
          <w:numId w:val="1"/>
        </w:numPr>
        <w:tabs>
          <w:tab w:val="clear" w:pos="840"/>
        </w:tabs>
        <w:ind w:left="1842" w:leftChars="540" w:hanging="708"/>
      </w:pPr>
      <w:r>
        <w:rPr>
          <w:rFonts w:hint="eastAsia"/>
        </w:rPr>
        <w:t>投保人的故意行为；</w:t>
      </w:r>
    </w:p>
    <w:p>
      <w:pPr>
        <w:pStyle w:val="20"/>
        <w:numPr>
          <w:ilvl w:val="0"/>
          <w:numId w:val="1"/>
        </w:numPr>
        <w:tabs>
          <w:tab w:val="clear" w:pos="840"/>
        </w:tabs>
        <w:ind w:left="1842" w:leftChars="540" w:hanging="708"/>
      </w:pPr>
      <w:r>
        <w:rPr>
          <w:rFonts w:hint="eastAsia"/>
        </w:rPr>
        <w:t>被保险人或其家属未遵医生开具的处方私自服用、涂用、注射药物；</w:t>
      </w:r>
    </w:p>
    <w:p>
      <w:pPr>
        <w:pStyle w:val="20"/>
        <w:numPr>
          <w:ilvl w:val="0"/>
          <w:numId w:val="1"/>
        </w:numPr>
        <w:tabs>
          <w:tab w:val="clear" w:pos="840"/>
        </w:tabs>
        <w:ind w:left="1842" w:leftChars="540" w:hanging="708"/>
      </w:pPr>
      <w:r>
        <w:rPr>
          <w:rFonts w:hint="eastAsia"/>
        </w:rPr>
        <w:t>被保险人或者其家属接种前，未按照</w:t>
      </w:r>
      <w:r>
        <w:t>要求</w:t>
      </w:r>
      <w:r>
        <w:rPr>
          <w:rFonts w:hint="eastAsia"/>
        </w:rPr>
        <w:t>如实提供被保险人的健康状况、接种禁忌等情况，接种后被保险人原有疾病急性复发或者病情加重；</w:t>
      </w:r>
    </w:p>
    <w:p>
      <w:pPr>
        <w:pStyle w:val="20"/>
        <w:numPr>
          <w:ilvl w:val="0"/>
          <w:numId w:val="1"/>
        </w:numPr>
        <w:tabs>
          <w:tab w:val="clear" w:pos="840"/>
        </w:tabs>
        <w:ind w:left="1842" w:leftChars="540" w:hanging="708"/>
      </w:pPr>
      <w:r>
        <w:rPr>
          <w:rFonts w:hint="eastAsia"/>
        </w:rPr>
        <w:t>对于有接种禁忌而不能接种的受种者，在医护人员提出医学建议后，受种者或受种者监护人仍要求实施接种的；</w:t>
      </w:r>
    </w:p>
    <w:p>
      <w:pPr>
        <w:pStyle w:val="20"/>
        <w:numPr>
          <w:ilvl w:val="0"/>
          <w:numId w:val="1"/>
        </w:numPr>
        <w:tabs>
          <w:tab w:val="clear" w:pos="840"/>
        </w:tabs>
        <w:ind w:left="1842" w:leftChars="540" w:hanging="708"/>
      </w:pPr>
      <w:r>
        <w:rPr>
          <w:rFonts w:hint="eastAsia"/>
        </w:rPr>
        <w:t>被保险人或其家属未按规定程序按时接受疫苗的预防接种；</w:t>
      </w:r>
    </w:p>
    <w:p>
      <w:pPr>
        <w:pStyle w:val="20"/>
        <w:numPr>
          <w:ilvl w:val="0"/>
          <w:numId w:val="1"/>
        </w:numPr>
        <w:tabs>
          <w:tab w:val="clear" w:pos="840"/>
        </w:tabs>
        <w:ind w:left="1842" w:leftChars="540" w:hanging="708"/>
      </w:pPr>
      <w:r>
        <w:rPr>
          <w:rFonts w:hint="eastAsia"/>
        </w:rPr>
        <w:t>被保险人或其家属不遵守医院规章制度、拒绝或者未按要求配合检查、治疗的行为；</w:t>
      </w:r>
    </w:p>
    <w:p>
      <w:pPr>
        <w:pStyle w:val="20"/>
        <w:numPr>
          <w:ilvl w:val="0"/>
          <w:numId w:val="1"/>
        </w:numPr>
        <w:tabs>
          <w:tab w:val="clear" w:pos="840"/>
        </w:tabs>
        <w:ind w:left="1842" w:leftChars="540" w:hanging="708"/>
      </w:pPr>
      <w:r>
        <w:rPr>
          <w:rFonts w:hint="eastAsia"/>
        </w:rPr>
        <w:t>被保险人在不具有卫生主管部门要求具备预防接种条件的单位接种疫苗；</w:t>
      </w:r>
    </w:p>
    <w:p>
      <w:pPr>
        <w:pStyle w:val="20"/>
        <w:numPr>
          <w:ilvl w:val="0"/>
          <w:numId w:val="1"/>
        </w:numPr>
        <w:tabs>
          <w:tab w:val="clear" w:pos="840"/>
        </w:tabs>
        <w:ind w:left="1842" w:leftChars="540" w:hanging="708"/>
      </w:pPr>
      <w:r>
        <w:rPr>
          <w:rFonts w:hint="eastAsia"/>
        </w:rPr>
        <w:t>使用过期、变质、质量不合格的疫苗或使用未经国家药品监督管理部门认可的疫苗；但</w:t>
      </w:r>
      <w:r>
        <w:t>选择投保</w:t>
      </w:r>
      <w:r>
        <w:rPr>
          <w:rFonts w:hint="eastAsia"/>
        </w:rPr>
        <w:t>“2.1.5 疫苗质量事故”</w:t>
      </w:r>
      <w:r>
        <w:t>的不</w:t>
      </w:r>
      <w:r>
        <w:rPr>
          <w:rFonts w:hint="eastAsia"/>
        </w:rPr>
        <w:t>在</w:t>
      </w:r>
      <w:r>
        <w:t>此列；</w:t>
      </w:r>
    </w:p>
    <w:p>
      <w:pPr>
        <w:pStyle w:val="20"/>
        <w:numPr>
          <w:ilvl w:val="0"/>
          <w:numId w:val="1"/>
        </w:numPr>
        <w:ind w:left="1842" w:leftChars="540" w:hanging="708"/>
      </w:pPr>
      <w:r>
        <w:rPr>
          <w:rFonts w:hint="eastAsia"/>
        </w:rPr>
        <w:t>实施接种的医疗卫生人员未参加卫生主管部门组织的预防接种专业培训或考核不合格；</w:t>
      </w:r>
    </w:p>
    <w:p>
      <w:pPr>
        <w:pStyle w:val="20"/>
        <w:numPr>
          <w:ilvl w:val="0"/>
          <w:numId w:val="1"/>
        </w:numPr>
        <w:tabs>
          <w:tab w:val="clear" w:pos="840"/>
        </w:tabs>
        <w:ind w:left="1842" w:leftChars="540" w:hanging="708"/>
      </w:pPr>
      <w:r>
        <w:rPr>
          <w:rFonts w:hint="eastAsia"/>
        </w:rPr>
        <w:t>接种单位违反《疫苗流通和预防接种管理条例》、预防接种工作规范、免疫程序、疫苗使用指导原则、接种方案；但</w:t>
      </w:r>
      <w:r>
        <w:t>选择投保</w:t>
      </w:r>
      <w:r>
        <w:rPr>
          <w:rFonts w:hint="eastAsia"/>
        </w:rPr>
        <w:t>“2.1.</w:t>
      </w:r>
      <w:r>
        <w:t>4</w:t>
      </w:r>
      <w:r>
        <w:rPr>
          <w:rFonts w:hint="eastAsia"/>
        </w:rPr>
        <w:t xml:space="preserve"> 预防接种</w:t>
      </w:r>
      <w:r>
        <w:t>事故</w:t>
      </w:r>
      <w:r>
        <w:rPr>
          <w:rFonts w:hint="eastAsia"/>
        </w:rPr>
        <w:t>”</w:t>
      </w:r>
      <w:r>
        <w:t>的不</w:t>
      </w:r>
      <w:r>
        <w:rPr>
          <w:rFonts w:hint="eastAsia"/>
        </w:rPr>
        <w:t>在</w:t>
      </w:r>
      <w:r>
        <w:t>此列；</w:t>
      </w:r>
    </w:p>
    <w:p>
      <w:pPr>
        <w:pStyle w:val="20"/>
        <w:numPr>
          <w:ilvl w:val="0"/>
          <w:numId w:val="1"/>
        </w:numPr>
        <w:tabs>
          <w:tab w:val="clear" w:pos="840"/>
        </w:tabs>
        <w:ind w:left="1842" w:leftChars="540" w:hanging="708"/>
      </w:pPr>
      <w:r>
        <w:rPr>
          <w:rFonts w:hint="cs"/>
        </w:rPr>
        <w:t>心因性反应</w:t>
      </w:r>
      <w:r>
        <w:rPr>
          <w:rFonts w:hint="eastAsia"/>
        </w:rPr>
        <w:t>（见释义）；</w:t>
      </w:r>
    </w:p>
    <w:p>
      <w:pPr>
        <w:pStyle w:val="20"/>
        <w:numPr>
          <w:ilvl w:val="0"/>
          <w:numId w:val="1"/>
        </w:numPr>
        <w:tabs>
          <w:tab w:val="clear" w:pos="840"/>
        </w:tabs>
        <w:ind w:left="1842" w:leftChars="540" w:hanging="708"/>
      </w:pPr>
      <w:r>
        <w:rPr>
          <w:rFonts w:hint="eastAsia"/>
        </w:rPr>
        <w:t>被保险人在</w:t>
      </w:r>
      <w:r>
        <w:t>预防接种前</w:t>
      </w:r>
      <w:r>
        <w:rPr>
          <w:rFonts w:hint="eastAsia"/>
        </w:rPr>
        <w:t>已患有或遗传已</w:t>
      </w:r>
      <w:r>
        <w:t>免疫的疾病</w:t>
      </w:r>
      <w:r>
        <w:rPr>
          <w:rFonts w:hint="eastAsia"/>
        </w:rPr>
        <w:t>；</w:t>
      </w:r>
    </w:p>
    <w:p>
      <w:pPr>
        <w:pStyle w:val="20"/>
        <w:numPr>
          <w:ilvl w:val="0"/>
          <w:numId w:val="1"/>
        </w:numPr>
        <w:tabs>
          <w:tab w:val="clear" w:pos="840"/>
        </w:tabs>
        <w:ind w:left="1842" w:leftChars="540" w:hanging="708"/>
      </w:pPr>
      <w:r>
        <w:rPr>
          <w:rFonts w:hint="eastAsia"/>
        </w:rPr>
        <w:t>被保险人</w:t>
      </w:r>
      <w:r>
        <w:t>在预防接种后患有已免疫的疾病。</w:t>
      </w:r>
    </w:p>
    <w:p>
      <w:pPr>
        <w:pStyle w:val="3"/>
      </w:pPr>
      <w:r>
        <w:rPr>
          <w:rFonts w:hint="eastAsia"/>
        </w:rPr>
        <w:t>2.4</w:t>
      </w:r>
      <w:r>
        <w:rPr>
          <w:rFonts w:hint="eastAsia"/>
        </w:rPr>
        <w:tab/>
      </w:r>
      <w:r>
        <w:rPr>
          <w:rFonts w:hint="eastAsia"/>
        </w:rPr>
        <w:t>保险金额</w:t>
      </w:r>
    </w:p>
    <w:p>
      <w:pPr>
        <w:pStyle w:val="20"/>
        <w:ind w:left="840" w:leftChars="400" w:firstLine="420"/>
      </w:pPr>
      <w:r>
        <w:rPr>
          <w:rFonts w:hint="eastAsia"/>
        </w:rPr>
        <w:t>预防接种异常反应保险</w:t>
      </w:r>
      <w:r>
        <w:t>金额、</w:t>
      </w:r>
      <w:r>
        <w:rPr>
          <w:rFonts w:hint="eastAsia"/>
        </w:rPr>
        <w:t>预防接种偶合症保险金额、预防接种一般反应保险</w:t>
      </w:r>
      <w:r>
        <w:t>金额、</w:t>
      </w:r>
      <w:r>
        <w:rPr>
          <w:rFonts w:hint="eastAsia"/>
        </w:rPr>
        <w:t>预防接种事故保险</w:t>
      </w:r>
      <w:r>
        <w:t>金额、</w:t>
      </w:r>
      <w:r>
        <w:rPr>
          <w:rFonts w:hint="eastAsia"/>
        </w:rPr>
        <w:t>疫苗质量事故保险</w:t>
      </w:r>
      <w:r>
        <w:t>金额</w:t>
      </w:r>
      <w:r>
        <w:rPr>
          <w:rFonts w:hint="eastAsia"/>
        </w:rPr>
        <w:t>分别是</w:t>
      </w:r>
      <w:r>
        <w:t>保险</w:t>
      </w:r>
      <w:r>
        <w:rPr>
          <w:rFonts w:hint="eastAsia"/>
        </w:rPr>
        <w:t>人对于预防接种异常反应意外</w:t>
      </w:r>
      <w:r>
        <w:t>、</w:t>
      </w:r>
      <w:r>
        <w:rPr>
          <w:rFonts w:hint="eastAsia"/>
        </w:rPr>
        <w:t>预防接种偶合症意外、预防接种一般反应意外</w:t>
      </w:r>
      <w:r>
        <w:t>、</w:t>
      </w:r>
      <w:r>
        <w:rPr>
          <w:rFonts w:hint="eastAsia"/>
        </w:rPr>
        <w:t>预防接种事故意外</w:t>
      </w:r>
      <w:r>
        <w:t>、</w:t>
      </w:r>
      <w:r>
        <w:rPr>
          <w:rFonts w:hint="eastAsia"/>
        </w:rPr>
        <w:t>疫苗质量事故意外承担给付</w:t>
      </w:r>
      <w:r>
        <w:t>各项保险金责任的最高限额。</w:t>
      </w:r>
    </w:p>
    <w:p>
      <w:pPr>
        <w:pStyle w:val="20"/>
        <w:tabs>
          <w:tab w:val="clear" w:pos="840"/>
        </w:tabs>
        <w:ind w:left="840" w:leftChars="400" w:firstLine="420"/>
        <w:rPr>
          <w:b w:val="0"/>
        </w:rPr>
      </w:pPr>
      <w:r>
        <w:rPr>
          <w:rFonts w:hint="eastAsia"/>
          <w:b w:val="0"/>
        </w:rPr>
        <w:t>保险金额由投保人、保险人双方约定，并在保险单中载明。</w:t>
      </w:r>
      <w:r>
        <w:rPr>
          <w:rFonts w:hint="eastAsia"/>
          <w:b/>
          <w:bCs/>
        </w:rPr>
        <w:t>保险人累计给付各项保险金之和不超过总保险金额。</w:t>
      </w:r>
    </w:p>
    <w:p>
      <w:pPr>
        <w:pStyle w:val="20"/>
        <w:tabs>
          <w:tab w:val="clear" w:pos="840"/>
        </w:tabs>
        <w:ind w:left="840" w:leftChars="400" w:firstLine="420"/>
      </w:pPr>
      <w:r>
        <w:rPr>
          <w:rFonts w:hint="eastAsia"/>
        </w:rPr>
        <w:t>被保险人的保险金额一经确定，在保险期间内不得变更。</w:t>
      </w:r>
    </w:p>
    <w:p>
      <w:pPr>
        <w:pStyle w:val="3"/>
      </w:pPr>
      <w:r>
        <w:rPr>
          <w:rFonts w:hint="eastAsia"/>
        </w:rPr>
        <w:t>2.5</w:t>
      </w:r>
      <w:r>
        <w:rPr>
          <w:rFonts w:hint="eastAsia"/>
        </w:rPr>
        <w:tab/>
      </w:r>
      <w:r>
        <w:rPr>
          <w:rFonts w:hint="eastAsia"/>
        </w:rPr>
        <w:t>保险期间</w:t>
      </w:r>
    </w:p>
    <w:p>
      <w:pPr>
        <w:pStyle w:val="20"/>
        <w:tabs>
          <w:tab w:val="clear" w:pos="840"/>
        </w:tabs>
        <w:ind w:left="840" w:leftChars="400" w:firstLine="420"/>
        <w:rPr>
          <w:b w:val="0"/>
        </w:rPr>
      </w:pPr>
      <w:r>
        <w:rPr>
          <w:rFonts w:hint="eastAsia"/>
          <w:b w:val="0"/>
        </w:rPr>
        <w:t>保险期间为1年，以保险单载明的起讫时间为准。</w:t>
      </w:r>
    </w:p>
    <w:p>
      <w:pPr>
        <w:tabs>
          <w:tab w:val="left" w:pos="840"/>
        </w:tabs>
        <w:rPr>
          <w:rFonts w:ascii="宋体" w:hAnsi="宋体"/>
          <w:b/>
          <w:szCs w:val="21"/>
        </w:rPr>
      </w:pPr>
      <w:r>
        <w:rPr>
          <w:rFonts w:ascii="宋体" w:hAnsi="宋体"/>
          <w:b/>
          <w:szCs w:val="21"/>
        </w:rPr>
        <w:t>2.6</w:t>
      </w:r>
      <w:r>
        <w:rPr>
          <w:rFonts w:hint="eastAsia" w:ascii="宋体" w:hAnsi="宋体"/>
          <w:b/>
          <w:szCs w:val="21"/>
        </w:rPr>
        <w:tab/>
      </w:r>
      <w:r>
        <w:rPr>
          <w:rFonts w:hint="eastAsia" w:ascii="宋体" w:hAnsi="宋体"/>
          <w:b/>
          <w:szCs w:val="21"/>
        </w:rPr>
        <w:t>续保</w:t>
      </w:r>
    </w:p>
    <w:p>
      <w:pPr>
        <w:ind w:left="840" w:leftChars="400" w:firstLine="422" w:firstLineChars="200"/>
        <w:rPr>
          <w:b/>
        </w:rPr>
      </w:pPr>
      <w:r>
        <w:rPr>
          <w:rFonts w:hint="eastAsia" w:ascii="宋体" w:hAnsi="宋体"/>
          <w:b/>
          <w:szCs w:val="21"/>
        </w:rPr>
        <w:t>本保险合同为不保证续保合同，保险</w:t>
      </w:r>
      <w:r>
        <w:rPr>
          <w:rFonts w:ascii="宋体" w:hAnsi="宋体"/>
          <w:b/>
          <w:szCs w:val="21"/>
        </w:rPr>
        <w:t>期间届满期</w:t>
      </w:r>
      <w:r>
        <w:rPr>
          <w:rFonts w:hint="eastAsia" w:ascii="宋体" w:hAnsi="宋体"/>
          <w:b/>
          <w:szCs w:val="21"/>
        </w:rPr>
        <w:t>前</w:t>
      </w:r>
      <w:r>
        <w:rPr>
          <w:rFonts w:ascii="宋体" w:hAnsi="宋体"/>
          <w:b/>
          <w:szCs w:val="21"/>
        </w:rPr>
        <w:t>或</w:t>
      </w:r>
      <w:r>
        <w:rPr>
          <w:rFonts w:hint="eastAsia" w:ascii="宋体" w:hAnsi="宋体"/>
          <w:b/>
          <w:szCs w:val="21"/>
        </w:rPr>
        <w:t>保险</w:t>
      </w:r>
      <w:r>
        <w:rPr>
          <w:rFonts w:ascii="宋体" w:hAnsi="宋体"/>
          <w:b/>
          <w:szCs w:val="21"/>
        </w:rPr>
        <w:t>期间</w:t>
      </w:r>
      <w:r>
        <w:rPr>
          <w:rFonts w:hint="eastAsia" w:ascii="宋体" w:hAnsi="宋体"/>
          <w:b/>
          <w:szCs w:val="21"/>
        </w:rPr>
        <w:t>届满，投保人需要重新向保险公司申请投保本产品，并经保险人同意，交纳保险费，获得新的保险合同。</w:t>
      </w:r>
    </w:p>
    <w:p>
      <w:pPr>
        <w:pStyle w:val="2"/>
      </w:pPr>
      <w:r>
        <w:rPr>
          <w:rFonts w:hint="eastAsia"/>
        </w:rPr>
        <w:t>3</w:t>
      </w:r>
      <w:r>
        <w:rPr>
          <w:rFonts w:hint="eastAsia"/>
        </w:rPr>
        <w:tab/>
      </w:r>
      <w:r>
        <w:rPr>
          <w:rFonts w:hint="eastAsia"/>
        </w:rPr>
        <w:t>投保人、被保险人义务</w:t>
      </w:r>
    </w:p>
    <w:p>
      <w:pPr>
        <w:pStyle w:val="3"/>
      </w:pPr>
      <w:r>
        <w:rPr>
          <w:rFonts w:hint="eastAsia"/>
        </w:rPr>
        <w:t>3.1</w:t>
      </w:r>
      <w:r>
        <w:tab/>
      </w:r>
      <w:r>
        <w:rPr>
          <w:rFonts w:hint="eastAsia"/>
        </w:rPr>
        <w:t>交费义务</w:t>
      </w:r>
    </w:p>
    <w:p>
      <w:pPr>
        <w:ind w:left="840" w:leftChars="400" w:firstLine="420" w:firstLineChars="200"/>
        <w:rPr>
          <w:rFonts w:ascii="宋体" w:hAnsi="宋体"/>
          <w:szCs w:val="21"/>
        </w:rPr>
      </w:pPr>
      <w:r>
        <w:rPr>
          <w:rFonts w:hint="eastAsia" w:ascii="宋体" w:hAnsi="宋体"/>
          <w:szCs w:val="21"/>
        </w:rPr>
        <w:t>保险费根据投保人选择的保障计划以及被保险人的风险状况（如健康状况、年龄等）和交费方式而定，并在保险单中载明。本合同保险费交付方式由投保人和保险人在投保时约定，并在保险单上载明。</w:t>
      </w:r>
    </w:p>
    <w:p>
      <w:pPr>
        <w:ind w:left="840" w:leftChars="400" w:firstLine="420" w:firstLineChars="200"/>
        <w:rPr>
          <w:rFonts w:ascii="宋体" w:hAnsi="宋体"/>
          <w:b/>
          <w:szCs w:val="21"/>
        </w:rPr>
      </w:pPr>
      <w:r>
        <w:rPr>
          <w:rFonts w:hint="eastAsia" w:ascii="宋体" w:hAnsi="宋体"/>
          <w:szCs w:val="21"/>
        </w:rPr>
        <w:t>若投保人选择一次性交付保险费，投保人应当在本合同成立时一次性交清保险费。</w:t>
      </w:r>
      <w:r>
        <w:rPr>
          <w:rFonts w:hint="eastAsia" w:ascii="宋体" w:hAnsi="宋体"/>
          <w:b/>
          <w:szCs w:val="21"/>
        </w:rPr>
        <w:t>保险费交清前，本保险合同不生效，对保险费交清前发生的保险事故，保险人不承担保险责任。</w:t>
      </w:r>
    </w:p>
    <w:p>
      <w:pPr>
        <w:ind w:left="840" w:leftChars="400" w:firstLine="422" w:firstLineChars="200"/>
        <w:rPr>
          <w:rFonts w:ascii="宋体" w:hAnsi="宋体"/>
          <w:b/>
          <w:szCs w:val="21"/>
        </w:rPr>
      </w:pPr>
      <w:r>
        <w:rPr>
          <w:rFonts w:hint="eastAsia" w:ascii="宋体" w:hAnsi="宋体"/>
          <w:b/>
          <w:szCs w:val="21"/>
        </w:rPr>
        <w:t>若投保人选择分期交付保险费，需经投保人申请并经保险人同意，并在保险单中载明保险费分期交付的周期。在交纳首月保险费后，投保人应当在每个保险费约定支付日（见释义）交纳其余各月对应期次的保险费。若投保人未按照保险合同约定的付款时间足额交付当期保险费，保险人允许投保人在合同约定的交费延长期内补交对应期次的保险费。除保险合同另有约定外，如被保险人在正常交费对应的保险期间内或交费延长期内发生保险事故，保险人依照合同约定赔偿保险金，但须投保人先行补交剩余全年保险费，补交金额为保险合同约定的全年保险费总额扣减投保人已交纳的保险费。</w:t>
      </w:r>
    </w:p>
    <w:p>
      <w:pPr>
        <w:ind w:left="840" w:leftChars="400" w:firstLine="422" w:firstLineChars="200"/>
        <w:rPr>
          <w:rFonts w:ascii="宋体" w:hAnsi="宋体"/>
          <w:b/>
          <w:szCs w:val="21"/>
        </w:rPr>
      </w:pPr>
      <w:r>
        <w:rPr>
          <w:rFonts w:hint="eastAsia" w:ascii="宋体" w:hAnsi="宋体"/>
          <w:b/>
          <w:szCs w:val="21"/>
        </w:rPr>
        <w:t>若投保人未按照保险合同约定的付款时间足额交付当期保险费，且在保险合同约定的交费延长期内仍未足额补交当期保险费，保险期间在上</w:t>
      </w:r>
      <w:r>
        <w:rPr>
          <w:rFonts w:ascii="宋体" w:hAnsi="宋体"/>
          <w:b/>
          <w:szCs w:val="21"/>
        </w:rPr>
        <w:t>一</w:t>
      </w:r>
      <w:r>
        <w:rPr>
          <w:rFonts w:hint="eastAsia" w:ascii="宋体" w:hAnsi="宋体"/>
          <w:b/>
          <w:szCs w:val="21"/>
        </w:rPr>
        <w:t>交费</w:t>
      </w:r>
      <w:r>
        <w:rPr>
          <w:rFonts w:ascii="宋体" w:hAnsi="宋体"/>
          <w:b/>
          <w:szCs w:val="21"/>
        </w:rPr>
        <w:t>周期</w:t>
      </w:r>
      <w:r>
        <w:rPr>
          <w:rFonts w:hint="eastAsia" w:ascii="宋体" w:hAnsi="宋体"/>
          <w:b/>
          <w:szCs w:val="21"/>
        </w:rPr>
        <w:t>结束</w:t>
      </w:r>
      <w:r>
        <w:rPr>
          <w:rFonts w:ascii="宋体" w:hAnsi="宋体"/>
          <w:b/>
          <w:szCs w:val="21"/>
        </w:rPr>
        <w:t>之日起终止</w:t>
      </w:r>
      <w:r>
        <w:rPr>
          <w:rFonts w:hint="eastAsia" w:ascii="宋体" w:hAnsi="宋体"/>
          <w:b/>
          <w:szCs w:val="21"/>
        </w:rPr>
        <w:t>，对于保险期间终止后发生的保险事故，保险人不承担保险责任。</w:t>
      </w:r>
    </w:p>
    <w:p>
      <w:pPr>
        <w:ind w:left="840" w:leftChars="400" w:firstLine="422" w:firstLineChars="200"/>
        <w:rPr>
          <w:rFonts w:ascii="宋体" w:hAnsi="宋体"/>
          <w:b/>
          <w:szCs w:val="21"/>
        </w:rPr>
      </w:pPr>
      <w:r>
        <w:rPr>
          <w:rFonts w:hint="eastAsia" w:ascii="宋体" w:hAnsi="宋体"/>
          <w:b/>
          <w:szCs w:val="21"/>
        </w:rPr>
        <w:t>除</w:t>
      </w:r>
      <w:r>
        <w:rPr>
          <w:rFonts w:ascii="宋体" w:hAnsi="宋体"/>
          <w:b/>
          <w:szCs w:val="21"/>
        </w:rPr>
        <w:t>另有约定外,</w:t>
      </w:r>
      <w:r>
        <w:rPr>
          <w:rFonts w:hint="eastAsia" w:ascii="宋体" w:hAnsi="宋体"/>
          <w:b/>
          <w:szCs w:val="21"/>
        </w:rPr>
        <w:t>交费延长期为20天。</w:t>
      </w:r>
    </w:p>
    <w:p>
      <w:pPr>
        <w:pStyle w:val="3"/>
      </w:pPr>
      <w:r>
        <w:rPr>
          <w:rFonts w:hint="eastAsia"/>
        </w:rPr>
        <w:t>3.2</w:t>
      </w:r>
      <w:r>
        <w:rPr>
          <w:rFonts w:hint="eastAsia"/>
        </w:rPr>
        <w:tab/>
      </w:r>
      <w:r>
        <w:rPr>
          <w:rFonts w:hint="eastAsia"/>
        </w:rPr>
        <w:t>如实告知义务</w:t>
      </w:r>
    </w:p>
    <w:p>
      <w:pPr>
        <w:pStyle w:val="26"/>
      </w:pPr>
      <w:r>
        <w:rPr>
          <w:rFonts w:hint="eastAsia" w:ascii="宋体" w:hAnsi="宋体"/>
          <w:szCs w:val="21"/>
        </w:rPr>
        <w:t>投保人应如实填写投保单并回答保险人提出的询问，履行如实告知义务</w:t>
      </w:r>
      <w:r>
        <w:rPr>
          <w:rFonts w:hint="eastAsia"/>
        </w:rPr>
        <w:t>。</w:t>
      </w:r>
    </w:p>
    <w:p>
      <w:pPr>
        <w:pStyle w:val="3"/>
      </w:pPr>
      <w:r>
        <w:rPr>
          <w:rFonts w:hint="eastAsia"/>
        </w:rPr>
        <w:t>3.</w:t>
      </w:r>
      <w:r>
        <w:t>3</w:t>
      </w:r>
      <w:r>
        <w:tab/>
      </w:r>
      <w:r>
        <w:rPr>
          <w:rFonts w:hint="eastAsia"/>
        </w:rPr>
        <w:t>住址或通讯地址变更通知义务</w:t>
      </w:r>
    </w:p>
    <w:p>
      <w:pPr>
        <w:ind w:left="840" w:leftChars="400" w:firstLine="420" w:firstLineChars="200"/>
        <w:rPr>
          <w:rFonts w:ascii="宋体" w:hAnsi="宋体" w:cs="宋体"/>
          <w:b/>
          <w:kern w:val="0"/>
          <w:szCs w:val="21"/>
        </w:rPr>
      </w:pPr>
      <w:r>
        <w:rPr>
          <w:rFonts w:hint="eastAsia"/>
        </w:rPr>
        <w:t>投保人住所或通讯地址变更时，应及时以书面形式通知保险人。</w:t>
      </w:r>
      <w:r>
        <w:rPr>
          <w:rFonts w:hint="eastAsia" w:ascii="宋体" w:hAnsi="宋体" w:cs="宋体"/>
          <w:b/>
          <w:kern w:val="0"/>
          <w:szCs w:val="21"/>
        </w:rPr>
        <w:t>投保人未通知的，保险人按本保险合同所载的最后住所或通讯地址发送的有关通知，均视为已发送给投保人。</w:t>
      </w:r>
    </w:p>
    <w:p>
      <w:pPr>
        <w:pStyle w:val="3"/>
      </w:pPr>
      <w:r>
        <w:rPr>
          <w:rFonts w:hint="eastAsia"/>
        </w:rPr>
        <w:t>3.</w:t>
      </w:r>
      <w:r>
        <w:t>4</w:t>
      </w:r>
      <w:r>
        <w:rPr>
          <w:rFonts w:hint="eastAsia"/>
        </w:rPr>
        <w:tab/>
      </w:r>
      <w:r>
        <w:rPr>
          <w:rFonts w:hint="eastAsia"/>
        </w:rPr>
        <w:t>被保险人变动通知义务</w:t>
      </w:r>
    </w:p>
    <w:p>
      <w:pPr>
        <w:pStyle w:val="26"/>
        <w:ind w:left="945" w:leftChars="450"/>
        <w:rPr>
          <w:rFonts w:ascii="宋体" w:hAnsi="宋体"/>
          <w:szCs w:val="21"/>
        </w:rPr>
      </w:pPr>
      <w:r>
        <w:rPr>
          <w:rFonts w:hint="eastAsia" w:ascii="宋体" w:hAnsi="宋体"/>
          <w:szCs w:val="21"/>
        </w:rPr>
        <w:t>在保险期间内，团体保险</w:t>
      </w:r>
      <w:r>
        <w:rPr>
          <w:rFonts w:ascii="宋体" w:hAnsi="宋体"/>
          <w:szCs w:val="21"/>
        </w:rPr>
        <w:t>的</w:t>
      </w:r>
      <w:r>
        <w:rPr>
          <w:rFonts w:hint="eastAsia" w:ascii="宋体" w:hAnsi="宋体"/>
          <w:szCs w:val="21"/>
        </w:rPr>
        <w:t>投保人因其人员变动，需增加、减少被保险人时，应以书面形式向保险人提出申请。保险人同意后出具批单，并在本保险合同中批注。</w:t>
      </w:r>
    </w:p>
    <w:p>
      <w:pPr>
        <w:pStyle w:val="26"/>
        <w:ind w:left="945" w:leftChars="450"/>
        <w:rPr>
          <w:rFonts w:ascii="宋体" w:hAnsi="宋体"/>
          <w:szCs w:val="21"/>
        </w:rPr>
      </w:pPr>
      <w:r>
        <w:rPr>
          <w:rFonts w:hint="eastAsia" w:ascii="宋体" w:hAnsi="宋体"/>
          <w:szCs w:val="21"/>
        </w:rPr>
        <w:t>被保险人人数增加时，保险人在审核同意后出具批单，于批单生效日零时开始承担保险责任，并按约定增收相应的保险费。</w:t>
      </w:r>
    </w:p>
    <w:p>
      <w:pPr>
        <w:pStyle w:val="26"/>
        <w:ind w:left="945" w:leftChars="450"/>
        <w:rPr>
          <w:rFonts w:ascii="宋体" w:hAnsi="宋体"/>
          <w:b/>
          <w:szCs w:val="21"/>
        </w:rPr>
      </w:pPr>
      <w:r>
        <w:rPr>
          <w:rFonts w:hint="eastAsia" w:ascii="宋体" w:hAnsi="宋体"/>
          <w:szCs w:val="21"/>
        </w:rPr>
        <w:t>被保险人人数减少时，投保人提供已通知相应被保险人退保的有效证明，保险人在审核同意后出具批单，于批单生效日零时起，对减少的被保险人终止保险责任，并按约定退还相应的保险费。</w:t>
      </w:r>
      <w:r>
        <w:rPr>
          <w:rFonts w:hint="eastAsia" w:ascii="宋体" w:hAnsi="宋体"/>
          <w:b/>
          <w:szCs w:val="21"/>
        </w:rPr>
        <w:t>但减少</w:t>
      </w:r>
      <w:r>
        <w:rPr>
          <w:rFonts w:ascii="宋体" w:hAnsi="宋体"/>
          <w:b/>
          <w:szCs w:val="21"/>
        </w:rPr>
        <w:t>的被保险人</w:t>
      </w:r>
      <w:r>
        <w:rPr>
          <w:rFonts w:hint="eastAsia" w:ascii="宋体" w:hAnsi="宋体"/>
          <w:b/>
          <w:szCs w:val="21"/>
        </w:rPr>
        <w:t>已发生任何保险金给付或已发生本保险合同约定的保险事故但尚未给付保险金的，保险人不退还该被保险人项下相应的保险费。</w:t>
      </w:r>
    </w:p>
    <w:p>
      <w:pPr>
        <w:pStyle w:val="3"/>
      </w:pPr>
      <w:r>
        <w:rPr>
          <w:rFonts w:hint="eastAsia"/>
        </w:rPr>
        <w:t>3.</w:t>
      </w:r>
      <w:r>
        <w:t>5</w:t>
      </w:r>
      <w:r>
        <w:tab/>
      </w:r>
      <w:r>
        <w:rPr>
          <w:rFonts w:hint="eastAsia"/>
        </w:rPr>
        <w:t>其他内容变更通知义务</w:t>
      </w:r>
    </w:p>
    <w:p>
      <w:pPr>
        <w:pStyle w:val="26"/>
        <w:ind w:left="945" w:leftChars="450"/>
        <w:rPr>
          <w:rFonts w:ascii="宋体" w:hAnsi="宋体"/>
          <w:b/>
          <w:szCs w:val="21"/>
        </w:rPr>
      </w:pPr>
      <w:r>
        <w:rPr>
          <w:rFonts w:ascii="宋体" w:hAnsi="宋体"/>
          <w:szCs w:val="21"/>
        </w:rPr>
        <w:t>在保险期间内，投保人需变更</w:t>
      </w:r>
      <w:r>
        <w:rPr>
          <w:rFonts w:hint="eastAsia" w:ascii="宋体" w:hAnsi="宋体"/>
          <w:szCs w:val="21"/>
        </w:rPr>
        <w:t>其他</w:t>
      </w:r>
      <w:r>
        <w:rPr>
          <w:rFonts w:ascii="宋体" w:hAnsi="宋体"/>
          <w:szCs w:val="21"/>
        </w:rPr>
        <w:t>合同内容的，应以书面形式向保险人提出申请。保险人同意后出具批单，并在本保险合同中批注。</w:t>
      </w:r>
      <w:r>
        <w:rPr>
          <w:rFonts w:ascii="宋体" w:hAnsi="宋体"/>
          <w:b/>
          <w:szCs w:val="21"/>
        </w:rPr>
        <w:t>若被保险人已身故，则保险人不接受本保险合同中有关该被保险人的任何内容的变更申请</w:t>
      </w:r>
      <w:r>
        <w:rPr>
          <w:rFonts w:hint="eastAsia"/>
          <w:b/>
        </w:rPr>
        <w:t>。</w:t>
      </w:r>
    </w:p>
    <w:p>
      <w:pPr>
        <w:pStyle w:val="3"/>
      </w:pPr>
      <w:r>
        <w:rPr>
          <w:rFonts w:hint="eastAsia"/>
        </w:rPr>
        <w:t>3.</w:t>
      </w:r>
      <w:r>
        <w:t>6</w:t>
      </w:r>
      <w:r>
        <w:tab/>
      </w:r>
      <w:r>
        <w:rPr>
          <w:rFonts w:hint="eastAsia"/>
        </w:rPr>
        <w:t>保险事故通知义务</w:t>
      </w:r>
    </w:p>
    <w:p>
      <w:pPr>
        <w:ind w:left="840" w:leftChars="400" w:firstLine="420" w:firstLineChars="200"/>
        <w:rPr>
          <w:rFonts w:ascii="宋体" w:hAnsi="宋体" w:cs="宋体"/>
          <w:kern w:val="0"/>
          <w:szCs w:val="21"/>
        </w:rPr>
      </w:pPr>
      <w:r>
        <w:rPr>
          <w:rFonts w:hint="eastAsia" w:ascii="宋体" w:hAnsi="宋体"/>
          <w:szCs w:val="21"/>
        </w:rPr>
        <w:t>发生保险责任范围内的事故后，投保人、被保险人或受益人应及时通知保险人，并书面说明事故发生的原因、经过和损失情况</w:t>
      </w:r>
      <w:r>
        <w:rPr>
          <w:rFonts w:hint="eastAsia"/>
        </w:rPr>
        <w:t>。</w:t>
      </w:r>
      <w:r>
        <w:rPr>
          <w:rFonts w:hint="eastAsia" w:ascii="宋体" w:hAnsi="宋体" w:cs="宋体"/>
          <w:b/>
          <w:kern w:val="0"/>
          <w:szCs w:val="21"/>
        </w:rPr>
        <w:t>故意或者因重大过失未及时通知，致使保险事故的性质、原因、损失程度等难以确定的，保险人对无法确定的部分，不承担给付保险金责任，</w:t>
      </w:r>
      <w:r>
        <w:rPr>
          <w:rFonts w:hint="eastAsia" w:ascii="宋体" w:hAnsi="宋体" w:cs="宋体"/>
          <w:kern w:val="0"/>
          <w:szCs w:val="21"/>
        </w:rPr>
        <w:t>但保险人通过其他途径已经及时知道或者应当及时知道保险事故发生的除外。</w:t>
      </w:r>
    </w:p>
    <w:p>
      <w:pPr>
        <w:ind w:left="840" w:leftChars="400" w:firstLine="420" w:firstLineChars="200"/>
        <w:rPr>
          <w:rFonts w:ascii="宋体" w:hAnsi="宋体" w:cs="宋体"/>
          <w:kern w:val="0"/>
          <w:szCs w:val="21"/>
        </w:rPr>
      </w:pPr>
      <w:r>
        <w:rPr>
          <w:rFonts w:hint="eastAsia" w:ascii="宋体" w:hAnsi="宋体" w:cs="宋体"/>
          <w:kern w:val="0"/>
          <w:szCs w:val="21"/>
        </w:rPr>
        <w:t>上述约定，不包括因</w:t>
      </w:r>
      <w:r>
        <w:rPr>
          <w:rFonts w:hint="eastAsia" w:ascii="宋体" w:hAnsi="宋体" w:cs="宋体"/>
          <w:b/>
          <w:kern w:val="0"/>
          <w:szCs w:val="21"/>
        </w:rPr>
        <w:t>不可抗力（释义）</w:t>
      </w:r>
      <w:r>
        <w:rPr>
          <w:rFonts w:hint="eastAsia" w:ascii="宋体" w:hAnsi="宋体" w:cs="宋体"/>
          <w:kern w:val="0"/>
          <w:szCs w:val="21"/>
        </w:rPr>
        <w:t>而导致的迟延。</w:t>
      </w:r>
    </w:p>
    <w:p>
      <w:pPr>
        <w:pStyle w:val="2"/>
      </w:pPr>
      <w:r>
        <w:rPr>
          <w:rFonts w:hint="eastAsia"/>
        </w:rPr>
        <w:t>4</w:t>
      </w:r>
      <w:r>
        <w:rPr>
          <w:rFonts w:hint="eastAsia"/>
        </w:rPr>
        <w:tab/>
      </w:r>
      <w:r>
        <w:rPr>
          <w:rFonts w:hint="eastAsia"/>
        </w:rPr>
        <w:t>保险人义务</w:t>
      </w:r>
    </w:p>
    <w:p>
      <w:pPr>
        <w:pStyle w:val="26"/>
        <w:numPr>
          <w:ilvl w:val="0"/>
          <w:numId w:val="2"/>
        </w:numPr>
        <w:ind w:left="1682" w:leftChars="450" w:hanging="737" w:firstLineChars="0"/>
        <w:rPr>
          <w:rFonts w:ascii="宋体" w:hAnsi="宋体"/>
          <w:szCs w:val="21"/>
        </w:rPr>
      </w:pPr>
      <w:r>
        <w:rPr>
          <w:rFonts w:hint="eastAsia" w:ascii="宋体" w:hAnsi="宋体"/>
          <w:szCs w:val="21"/>
        </w:rPr>
        <w:t>本保险合同成立后，保险人应当及时向投保人签发保险单或其他保险凭证。</w:t>
      </w:r>
    </w:p>
    <w:p>
      <w:pPr>
        <w:pStyle w:val="26"/>
        <w:numPr>
          <w:ilvl w:val="0"/>
          <w:numId w:val="2"/>
        </w:numPr>
        <w:ind w:left="1682" w:leftChars="450" w:hanging="737" w:firstLineChars="0"/>
        <w:rPr>
          <w:rFonts w:ascii="宋体" w:hAnsi="宋体"/>
          <w:szCs w:val="21"/>
        </w:rPr>
      </w:pPr>
      <w:r>
        <w:rPr>
          <w:rFonts w:hint="eastAsia" w:ascii="宋体" w:hAnsi="宋体"/>
          <w:szCs w:val="21"/>
        </w:rPr>
        <w:t>保险人认为投保人、被保险人或者受益人提供的有关索赔的证明和资料不完整的，应当及时一次性通知投保人、被保险人或者受益人补充提供。</w:t>
      </w:r>
    </w:p>
    <w:p>
      <w:pPr>
        <w:pStyle w:val="26"/>
        <w:numPr>
          <w:ilvl w:val="0"/>
          <w:numId w:val="2"/>
        </w:numPr>
        <w:ind w:left="1682" w:leftChars="450" w:hanging="737" w:firstLineChars="0"/>
        <w:rPr>
          <w:rFonts w:ascii="宋体" w:hAnsi="宋体"/>
          <w:szCs w:val="21"/>
        </w:rPr>
      </w:pPr>
      <w:r>
        <w:rPr>
          <w:rFonts w:hint="eastAsia" w:ascii="宋体" w:hAnsi="宋体"/>
          <w:szCs w:val="21"/>
        </w:rPr>
        <w:t>保险人收到被保险人或者受益人的给付保险金的请求后，应当及时作出是否属于保险责任的核定；情形复杂的，应当在3</w:t>
      </w:r>
      <w:r>
        <w:rPr>
          <w:rFonts w:ascii="宋体" w:hAnsi="宋体"/>
          <w:szCs w:val="21"/>
        </w:rPr>
        <w:t>0</w:t>
      </w:r>
      <w:r>
        <w:rPr>
          <w:rFonts w:hint="eastAsia" w:ascii="宋体" w:hAnsi="宋体"/>
          <w:szCs w:val="21"/>
        </w:rPr>
        <w:t>日内作出核定。但保险责任的核定必须依赖于特定证明、鉴定、判决、裁定或其他证据材料的，保险人应在被保险人或者受益人提供或自行取得上述证据材料起3</w:t>
      </w:r>
      <w:r>
        <w:rPr>
          <w:rFonts w:ascii="宋体" w:hAnsi="宋体"/>
          <w:szCs w:val="21"/>
        </w:rPr>
        <w:t>0</w:t>
      </w:r>
      <w:r>
        <w:rPr>
          <w:rFonts w:hint="eastAsia" w:ascii="宋体" w:hAnsi="宋体"/>
          <w:szCs w:val="21"/>
        </w:rPr>
        <w:t>日内作出核定。本保险合同另有约定的除外。</w:t>
      </w:r>
    </w:p>
    <w:p>
      <w:pPr>
        <w:pStyle w:val="26"/>
        <w:numPr>
          <w:ilvl w:val="0"/>
          <w:numId w:val="2"/>
        </w:numPr>
        <w:ind w:left="1682" w:leftChars="450" w:hanging="737" w:firstLineChars="0"/>
        <w:rPr>
          <w:rFonts w:ascii="宋体" w:hAnsi="宋体"/>
          <w:szCs w:val="21"/>
        </w:rPr>
      </w:pPr>
      <w:r>
        <w:rPr>
          <w:rFonts w:hint="eastAsia" w:ascii="宋体" w:hAnsi="宋体"/>
          <w:szCs w:val="21"/>
        </w:rPr>
        <w:t>保险人应当将核定结果通知被保险人或者受益人；对属于保险责任的，在与被保险人或者受益人达成给付保险金的协议后1</w:t>
      </w:r>
      <w:r>
        <w:rPr>
          <w:rFonts w:ascii="宋体" w:hAnsi="宋体"/>
          <w:szCs w:val="21"/>
        </w:rPr>
        <w:t>0</w:t>
      </w:r>
      <w:r>
        <w:rPr>
          <w:rFonts w:hint="eastAsia" w:ascii="宋体" w:hAnsi="宋体"/>
          <w:szCs w:val="21"/>
        </w:rPr>
        <w:t>日内，履行赔偿保险金义务。保险合同对给付保险金的期限有约定的，保险人应当按照约定履行给付保险金的义务。保险人依照前款约定作出核定后，对不属于保险责任的，应当自作出核定之日起</w:t>
      </w:r>
      <w:r>
        <w:rPr>
          <w:rFonts w:ascii="宋体" w:hAnsi="宋体"/>
          <w:szCs w:val="21"/>
        </w:rPr>
        <w:t>1</w:t>
      </w:r>
      <w:r>
        <w:rPr>
          <w:rFonts w:hint="eastAsia" w:ascii="宋体" w:hAnsi="宋体"/>
          <w:szCs w:val="21"/>
        </w:rPr>
        <w:t>个工作日内向被保险人或者受益人发出拒绝给付保险金通知书，并说明理由。</w:t>
      </w:r>
    </w:p>
    <w:p>
      <w:pPr>
        <w:pStyle w:val="26"/>
        <w:numPr>
          <w:ilvl w:val="0"/>
          <w:numId w:val="2"/>
        </w:numPr>
        <w:ind w:left="1682" w:leftChars="450" w:hanging="737" w:firstLineChars="0"/>
        <w:rPr>
          <w:rFonts w:ascii="宋体" w:hAnsi="宋体"/>
          <w:szCs w:val="21"/>
        </w:rPr>
      </w:pPr>
      <w:r>
        <w:rPr>
          <w:rFonts w:hint="eastAsia" w:ascii="宋体" w:hAnsi="宋体"/>
          <w:szCs w:val="21"/>
        </w:rPr>
        <w:t>保险人自收到给付保险金的请求和有关证明、资料之日起6</w:t>
      </w:r>
      <w:r>
        <w:rPr>
          <w:rFonts w:ascii="宋体" w:hAnsi="宋体"/>
          <w:szCs w:val="21"/>
        </w:rPr>
        <w:t>0</w:t>
      </w:r>
      <w:r>
        <w:rPr>
          <w:rFonts w:hint="eastAsia" w:ascii="宋体" w:hAnsi="宋体"/>
          <w:szCs w:val="21"/>
        </w:rPr>
        <w:t>日内，对其赔偿保险金的数额不能确定的，应当根据已有证明和资料可以确定的数额先予支付；保险人最终确定给付的数额后，应当支付相应的差额。</w:t>
      </w:r>
    </w:p>
    <w:p>
      <w:pPr>
        <w:pStyle w:val="2"/>
      </w:pPr>
      <w:r>
        <w:rPr>
          <w:rFonts w:hint="eastAsia"/>
        </w:rPr>
        <w:t>5</w:t>
      </w:r>
      <w:r>
        <w:rPr>
          <w:rFonts w:hint="eastAsia"/>
        </w:rPr>
        <w:tab/>
      </w:r>
      <w:r>
        <w:rPr>
          <w:rFonts w:hint="eastAsia"/>
        </w:rPr>
        <w:t>保险金申请</w:t>
      </w:r>
    </w:p>
    <w:p>
      <w:pPr>
        <w:pStyle w:val="26"/>
        <w:ind w:left="945" w:leftChars="450" w:firstLine="422"/>
        <w:rPr>
          <w:rFonts w:ascii="宋体" w:hAnsi="宋体"/>
          <w:b/>
          <w:szCs w:val="21"/>
        </w:rPr>
      </w:pPr>
      <w:r>
        <w:rPr>
          <w:rFonts w:hint="eastAsia" w:ascii="宋体" w:hAnsi="宋体"/>
          <w:b/>
          <w:szCs w:val="21"/>
        </w:rPr>
        <w:t>保险金申请人（见释义）</w:t>
      </w:r>
      <w:r>
        <w:rPr>
          <w:rFonts w:hint="eastAsia" w:ascii="宋体" w:hAnsi="宋体"/>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宋体" w:hAnsi="宋体"/>
          <w:b/>
          <w:szCs w:val="21"/>
        </w:rPr>
        <w:t>保险金申请人未能提供有关材料，导致保险人无法核实该申请的真实性的，保险人对无法核实部分不承担给付保险金的责任。</w:t>
      </w:r>
    </w:p>
    <w:p>
      <w:pPr>
        <w:pStyle w:val="4"/>
      </w:pPr>
      <w:r>
        <w:rPr>
          <w:rFonts w:hint="eastAsia"/>
        </w:rPr>
        <w:t>5.1</w:t>
      </w:r>
      <w:r>
        <w:rPr>
          <w:rFonts w:hint="eastAsia"/>
        </w:rPr>
        <w:tab/>
      </w:r>
      <w:r>
        <w:rPr>
          <w:rFonts w:hint="eastAsia"/>
        </w:rPr>
        <w:t>身故保险金申请</w:t>
      </w:r>
    </w:p>
    <w:p>
      <w:pPr>
        <w:tabs>
          <w:tab w:val="left" w:pos="2100"/>
        </w:tabs>
        <w:adjustRightInd w:val="0"/>
        <w:snapToGrid w:val="0"/>
        <w:ind w:left="1470" w:leftChars="400" w:hanging="630" w:hangingChars="300"/>
        <w:jc w:val="left"/>
        <w:rPr>
          <w:rFonts w:asciiTheme="majorEastAsia" w:hAnsiTheme="majorEastAsia" w:eastAsiaTheme="majorEastAsia"/>
          <w:b/>
        </w:rPr>
      </w:pPr>
      <w:r>
        <w:rPr>
          <w:rFonts w:hint="eastAsia" w:asciiTheme="majorEastAsia" w:hAnsiTheme="majorEastAsia" w:eastAsiaTheme="majorEastAsia"/>
        </w:rPr>
        <w:t>（</w:t>
      </w:r>
      <w:r>
        <w:rPr>
          <w:rFonts w:asciiTheme="majorEastAsia" w:hAnsiTheme="majorEastAsia" w:eastAsiaTheme="majorEastAsia"/>
        </w:rPr>
        <w:t>1）</w:t>
      </w:r>
      <w:r>
        <w:rPr>
          <w:rFonts w:asciiTheme="majorEastAsia" w:hAnsiTheme="majorEastAsia" w:eastAsiaTheme="majorEastAsia"/>
        </w:rPr>
        <w:tab/>
      </w:r>
      <w:r>
        <w:rPr>
          <w:rFonts w:hint="eastAsia" w:asciiTheme="majorEastAsia" w:hAnsiTheme="majorEastAsia" w:eastAsiaTheme="majorEastAsia"/>
        </w:rPr>
        <w:t>保险金给付申请书；</w:t>
      </w:r>
    </w:p>
    <w:p>
      <w:pPr>
        <w:tabs>
          <w:tab w:val="left" w:pos="2100"/>
        </w:tabs>
        <w:adjustRightInd w:val="0"/>
        <w:snapToGrid w:val="0"/>
        <w:ind w:left="1470" w:leftChars="400" w:hanging="630" w:hangingChars="300"/>
        <w:jc w:val="left"/>
        <w:rPr>
          <w:rFonts w:asciiTheme="majorEastAsia" w:hAnsiTheme="majorEastAsia" w:eastAsiaTheme="majorEastAsia"/>
          <w:b/>
        </w:rPr>
      </w:pPr>
      <w:r>
        <w:rPr>
          <w:rFonts w:hint="eastAsia" w:asciiTheme="majorEastAsia" w:hAnsiTheme="majorEastAsia" w:eastAsiaTheme="majorEastAsia"/>
        </w:rPr>
        <w:t>（</w:t>
      </w:r>
      <w:r>
        <w:rPr>
          <w:rFonts w:asciiTheme="majorEastAsia" w:hAnsiTheme="majorEastAsia" w:eastAsiaTheme="majorEastAsia"/>
        </w:rPr>
        <w:t>2）</w:t>
      </w:r>
      <w:r>
        <w:rPr>
          <w:rFonts w:asciiTheme="majorEastAsia" w:hAnsiTheme="majorEastAsia" w:eastAsiaTheme="majorEastAsia"/>
        </w:rPr>
        <w:tab/>
      </w:r>
      <w:r>
        <w:rPr>
          <w:rFonts w:hint="eastAsia" w:asciiTheme="majorEastAsia" w:hAnsiTheme="majorEastAsia" w:eastAsiaTheme="majorEastAsia"/>
        </w:rPr>
        <w:t>保险单；</w:t>
      </w:r>
    </w:p>
    <w:p>
      <w:pPr>
        <w:tabs>
          <w:tab w:val="left" w:pos="2100"/>
        </w:tabs>
        <w:adjustRightInd w:val="0"/>
        <w:snapToGrid w:val="0"/>
        <w:ind w:left="1470" w:leftChars="400" w:hanging="630" w:hangingChars="300"/>
        <w:jc w:val="left"/>
        <w:rPr>
          <w:rFonts w:asciiTheme="majorEastAsia" w:hAnsiTheme="majorEastAsia" w:eastAsiaTheme="majorEastAsia"/>
          <w:b/>
        </w:rPr>
      </w:pPr>
      <w:r>
        <w:rPr>
          <w:rFonts w:hint="eastAsia" w:asciiTheme="majorEastAsia" w:hAnsiTheme="majorEastAsia" w:eastAsiaTheme="majorEastAsia"/>
        </w:rPr>
        <w:t>（</w:t>
      </w:r>
      <w:r>
        <w:rPr>
          <w:rFonts w:asciiTheme="majorEastAsia" w:hAnsiTheme="majorEastAsia" w:eastAsiaTheme="majorEastAsia"/>
        </w:rPr>
        <w:t>3）</w:t>
      </w:r>
      <w:r>
        <w:rPr>
          <w:rFonts w:asciiTheme="majorEastAsia" w:hAnsiTheme="majorEastAsia" w:eastAsiaTheme="majorEastAsia"/>
        </w:rPr>
        <w:tab/>
      </w:r>
      <w:r>
        <w:rPr>
          <w:rFonts w:hint="eastAsia" w:asciiTheme="majorEastAsia" w:hAnsiTheme="majorEastAsia" w:eastAsiaTheme="majorEastAsia"/>
        </w:rPr>
        <w:t>保险金申请人的身份证明；</w:t>
      </w:r>
    </w:p>
    <w:p>
      <w:pPr>
        <w:tabs>
          <w:tab w:val="left" w:pos="2100"/>
        </w:tabs>
        <w:adjustRightInd w:val="0"/>
        <w:snapToGrid w:val="0"/>
        <w:ind w:left="1470" w:leftChars="400" w:hanging="630" w:hangingChars="300"/>
        <w:jc w:val="left"/>
        <w:rPr>
          <w:rFonts w:asciiTheme="majorEastAsia" w:hAnsiTheme="majorEastAsia" w:eastAsiaTheme="majorEastAsia"/>
          <w:b/>
        </w:rPr>
      </w:pPr>
      <w:r>
        <w:rPr>
          <w:rFonts w:hint="eastAsia" w:asciiTheme="majorEastAsia" w:hAnsiTheme="majorEastAsia" w:eastAsiaTheme="majorEastAsia"/>
        </w:rPr>
        <w:t>（</w:t>
      </w:r>
      <w:r>
        <w:rPr>
          <w:rFonts w:asciiTheme="majorEastAsia" w:hAnsiTheme="majorEastAsia" w:eastAsiaTheme="majorEastAsia"/>
        </w:rPr>
        <w:t>4）</w:t>
      </w:r>
      <w:r>
        <w:rPr>
          <w:rFonts w:asciiTheme="majorEastAsia" w:hAnsiTheme="majorEastAsia" w:eastAsiaTheme="majorEastAsia"/>
        </w:rPr>
        <w:tab/>
      </w:r>
      <w:r>
        <w:rPr>
          <w:rFonts w:hint="eastAsia" w:asciiTheme="majorEastAsia" w:hAnsiTheme="majorEastAsia" w:eastAsiaTheme="majorEastAsia"/>
        </w:rPr>
        <w:t>公安机关或司法部门、二级及二级以上医院或保险人认可的医疗机构出具的被保险人死亡证明或验尸报告；</w:t>
      </w:r>
    </w:p>
    <w:p>
      <w:pPr>
        <w:tabs>
          <w:tab w:val="left" w:pos="2100"/>
        </w:tabs>
        <w:adjustRightInd w:val="0"/>
        <w:snapToGrid w:val="0"/>
        <w:ind w:left="1470" w:leftChars="400" w:hanging="630" w:hangingChars="300"/>
        <w:jc w:val="left"/>
        <w:rPr>
          <w:rFonts w:asciiTheme="majorEastAsia" w:hAnsiTheme="majorEastAsia" w:eastAsiaTheme="majorEastAsia"/>
          <w:b/>
        </w:rPr>
      </w:pPr>
      <w:r>
        <w:rPr>
          <w:rFonts w:hint="eastAsia" w:asciiTheme="majorEastAsia" w:hAnsiTheme="majorEastAsia" w:eastAsiaTheme="majorEastAsia"/>
        </w:rPr>
        <w:t>（</w:t>
      </w:r>
      <w:r>
        <w:rPr>
          <w:rFonts w:asciiTheme="majorEastAsia" w:hAnsiTheme="majorEastAsia" w:eastAsiaTheme="majorEastAsia"/>
        </w:rPr>
        <w:t>5）</w:t>
      </w:r>
      <w:r>
        <w:rPr>
          <w:rFonts w:asciiTheme="majorEastAsia" w:hAnsiTheme="majorEastAsia" w:eastAsiaTheme="majorEastAsia"/>
        </w:rPr>
        <w:tab/>
      </w:r>
      <w:r>
        <w:rPr>
          <w:rFonts w:hint="eastAsia" w:asciiTheme="majorEastAsia" w:hAnsiTheme="majorEastAsia" w:eastAsiaTheme="majorEastAsia"/>
        </w:rPr>
        <w:t>预防接种异常反应调查诊断结论或根据《鉴定办法》进行的预防接种异常反应鉴定结论；</w:t>
      </w:r>
    </w:p>
    <w:p>
      <w:pPr>
        <w:tabs>
          <w:tab w:val="left" w:pos="2100"/>
        </w:tabs>
        <w:adjustRightInd w:val="0"/>
        <w:snapToGrid w:val="0"/>
        <w:ind w:left="1470" w:leftChars="400" w:hanging="630" w:hangingChars="300"/>
        <w:jc w:val="left"/>
        <w:rPr>
          <w:rFonts w:asciiTheme="majorEastAsia" w:hAnsiTheme="majorEastAsia" w:eastAsiaTheme="majorEastAsia"/>
          <w:b/>
        </w:rPr>
      </w:pPr>
      <w:r>
        <w:rPr>
          <w:rFonts w:hint="eastAsia" w:asciiTheme="majorEastAsia" w:hAnsiTheme="majorEastAsia" w:eastAsiaTheme="majorEastAsia"/>
        </w:rPr>
        <w:t>（</w:t>
      </w:r>
      <w:r>
        <w:rPr>
          <w:rFonts w:asciiTheme="majorEastAsia" w:hAnsiTheme="majorEastAsia" w:eastAsiaTheme="majorEastAsia"/>
        </w:rPr>
        <w:t>6</w:t>
      </w:r>
      <w:r>
        <w:rPr>
          <w:rFonts w:hint="eastAsia" w:asciiTheme="majorEastAsia" w:hAnsiTheme="majorEastAsia" w:eastAsiaTheme="majorEastAsia"/>
        </w:rPr>
        <w:t>）</w:t>
      </w:r>
      <w:r>
        <w:rPr>
          <w:rFonts w:asciiTheme="majorEastAsia" w:hAnsiTheme="majorEastAsia" w:eastAsiaTheme="majorEastAsia"/>
        </w:rPr>
        <w:tab/>
      </w:r>
      <w:r>
        <w:rPr>
          <w:rFonts w:hint="eastAsia" w:asciiTheme="majorEastAsia" w:hAnsiTheme="majorEastAsia" w:eastAsiaTheme="majorEastAsia"/>
        </w:rPr>
        <w:t>如</w:t>
      </w:r>
      <w:r>
        <w:rPr>
          <w:rFonts w:asciiTheme="majorEastAsia" w:hAnsiTheme="majorEastAsia" w:eastAsiaTheme="majorEastAsia"/>
        </w:rPr>
        <w:t>申请</w:t>
      </w:r>
      <w:r>
        <w:rPr>
          <w:rFonts w:hint="eastAsia" w:asciiTheme="majorEastAsia" w:hAnsiTheme="majorEastAsia" w:eastAsiaTheme="majorEastAsia"/>
        </w:rPr>
        <w:t>预防接种事故理赔</w:t>
      </w:r>
      <w:r>
        <w:rPr>
          <w:rFonts w:asciiTheme="majorEastAsia" w:hAnsiTheme="majorEastAsia" w:eastAsiaTheme="majorEastAsia"/>
        </w:rPr>
        <w:t>的，还需提供</w:t>
      </w:r>
      <w:r>
        <w:rPr>
          <w:rFonts w:hint="eastAsia" w:asciiTheme="majorEastAsia" w:hAnsiTheme="majorEastAsia" w:eastAsiaTheme="majorEastAsia"/>
        </w:rPr>
        <w:t>药品监督管理部门出具的疫苗质量检验结果报告；</w:t>
      </w:r>
    </w:p>
    <w:p>
      <w:pPr>
        <w:tabs>
          <w:tab w:val="left" w:pos="2100"/>
        </w:tabs>
        <w:adjustRightInd w:val="0"/>
        <w:snapToGrid w:val="0"/>
        <w:ind w:left="1470" w:leftChars="400" w:hanging="630" w:hangingChars="300"/>
        <w:jc w:val="left"/>
        <w:rPr>
          <w:rFonts w:asciiTheme="majorEastAsia" w:hAnsiTheme="majorEastAsia" w:eastAsiaTheme="majorEastAsia"/>
          <w:b/>
        </w:rPr>
      </w:pPr>
      <w:r>
        <w:rPr>
          <w:rFonts w:hint="eastAsia" w:asciiTheme="majorEastAsia" w:hAnsiTheme="majorEastAsia" w:eastAsiaTheme="majorEastAsia"/>
        </w:rPr>
        <w:t>（</w:t>
      </w:r>
      <w:r>
        <w:rPr>
          <w:rFonts w:asciiTheme="majorEastAsia" w:hAnsiTheme="majorEastAsia" w:eastAsiaTheme="majorEastAsia"/>
        </w:rPr>
        <w:t>7</w:t>
      </w:r>
      <w:r>
        <w:rPr>
          <w:rFonts w:hint="eastAsia" w:asciiTheme="majorEastAsia" w:hAnsiTheme="majorEastAsia" w:eastAsiaTheme="majorEastAsia"/>
        </w:rPr>
        <w:t>）</w:t>
      </w:r>
      <w:r>
        <w:rPr>
          <w:rFonts w:asciiTheme="majorEastAsia" w:hAnsiTheme="majorEastAsia" w:eastAsiaTheme="majorEastAsia"/>
        </w:rPr>
        <w:tab/>
      </w:r>
      <w:r>
        <w:rPr>
          <w:rFonts w:hint="eastAsia" w:asciiTheme="majorEastAsia" w:hAnsiTheme="majorEastAsia" w:eastAsiaTheme="majorEastAsia"/>
        </w:rPr>
        <w:t>如</w:t>
      </w:r>
      <w:r>
        <w:rPr>
          <w:rFonts w:asciiTheme="majorEastAsia" w:hAnsiTheme="majorEastAsia" w:eastAsiaTheme="majorEastAsia"/>
        </w:rPr>
        <w:t>申请</w:t>
      </w:r>
      <w:r>
        <w:rPr>
          <w:rFonts w:hint="eastAsia" w:asciiTheme="majorEastAsia" w:hAnsiTheme="majorEastAsia" w:eastAsiaTheme="majorEastAsia"/>
        </w:rPr>
        <w:t>疫苗质量事故理赔</w:t>
      </w:r>
      <w:r>
        <w:rPr>
          <w:rFonts w:asciiTheme="majorEastAsia" w:hAnsiTheme="majorEastAsia" w:eastAsiaTheme="majorEastAsia"/>
        </w:rPr>
        <w:t>的，还需提供</w:t>
      </w:r>
      <w:r>
        <w:rPr>
          <w:rFonts w:hint="eastAsia" w:asciiTheme="majorEastAsia" w:hAnsiTheme="majorEastAsia" w:eastAsiaTheme="majorEastAsia"/>
        </w:rPr>
        <w:t>医疗事故技术鉴定结论；</w:t>
      </w:r>
    </w:p>
    <w:p>
      <w:pPr>
        <w:tabs>
          <w:tab w:val="left" w:pos="2100"/>
        </w:tabs>
        <w:adjustRightInd w:val="0"/>
        <w:snapToGrid w:val="0"/>
        <w:ind w:left="1470" w:leftChars="400" w:hanging="630" w:hangingChars="300"/>
        <w:jc w:val="left"/>
        <w:rPr>
          <w:rFonts w:asciiTheme="majorEastAsia" w:hAnsiTheme="majorEastAsia" w:eastAsiaTheme="majorEastAsia"/>
          <w:b/>
        </w:rPr>
      </w:pPr>
      <w:r>
        <w:rPr>
          <w:rFonts w:hint="eastAsia" w:asciiTheme="majorEastAsia" w:hAnsiTheme="majorEastAsia" w:eastAsiaTheme="majorEastAsia"/>
        </w:rPr>
        <w:t>（</w:t>
      </w:r>
      <w:r>
        <w:rPr>
          <w:rFonts w:asciiTheme="majorEastAsia" w:hAnsiTheme="majorEastAsia" w:eastAsiaTheme="majorEastAsia"/>
        </w:rPr>
        <w:t>8</w:t>
      </w:r>
      <w:r>
        <w:rPr>
          <w:rFonts w:hint="eastAsia" w:asciiTheme="majorEastAsia" w:hAnsiTheme="majorEastAsia" w:eastAsiaTheme="majorEastAsia"/>
        </w:rPr>
        <w:t>）</w:t>
      </w:r>
      <w:r>
        <w:rPr>
          <w:rFonts w:asciiTheme="majorEastAsia" w:hAnsiTheme="majorEastAsia" w:eastAsiaTheme="majorEastAsia"/>
        </w:rPr>
        <w:tab/>
      </w:r>
      <w:r>
        <w:rPr>
          <w:rFonts w:hint="eastAsia" w:asciiTheme="majorEastAsia" w:hAnsiTheme="majorEastAsia" w:eastAsiaTheme="majorEastAsia"/>
        </w:rPr>
        <w:t>保险金申请人所能提供的与确认保险事故的性质、原因、损失程度等有关的其他证明和资料。</w:t>
      </w:r>
    </w:p>
    <w:p>
      <w:pPr>
        <w:pStyle w:val="4"/>
      </w:pPr>
      <w:r>
        <w:rPr>
          <w:rFonts w:hint="eastAsia"/>
        </w:rPr>
        <w:t>5.2</w:t>
      </w:r>
      <w:r>
        <w:rPr>
          <w:rFonts w:hint="eastAsia"/>
        </w:rPr>
        <w:tab/>
      </w:r>
      <w:r>
        <w:rPr>
          <w:rFonts w:hint="eastAsia"/>
        </w:rPr>
        <w:t>伤残保险金申请</w:t>
      </w:r>
    </w:p>
    <w:p>
      <w:pPr>
        <w:tabs>
          <w:tab w:val="left" w:pos="2100"/>
        </w:tabs>
        <w:adjustRightInd w:val="0"/>
        <w:snapToGrid w:val="0"/>
        <w:ind w:left="1470" w:leftChars="400" w:hanging="630" w:hangingChars="300"/>
        <w:jc w:val="left"/>
        <w:rPr>
          <w:rFonts w:asciiTheme="majorEastAsia" w:hAnsiTheme="majorEastAsia" w:eastAsiaTheme="majorEastAsia"/>
          <w:b/>
        </w:rPr>
      </w:pPr>
      <w:r>
        <w:rPr>
          <w:rFonts w:hint="eastAsia" w:asciiTheme="majorEastAsia" w:hAnsiTheme="majorEastAsia" w:eastAsiaTheme="majorEastAsia"/>
        </w:rPr>
        <w:t>（</w:t>
      </w:r>
      <w:r>
        <w:rPr>
          <w:rFonts w:asciiTheme="majorEastAsia" w:hAnsiTheme="majorEastAsia" w:eastAsiaTheme="majorEastAsia"/>
        </w:rPr>
        <w:t>1）</w:t>
      </w:r>
      <w:r>
        <w:rPr>
          <w:rFonts w:asciiTheme="majorEastAsia" w:hAnsiTheme="majorEastAsia" w:eastAsiaTheme="majorEastAsia"/>
        </w:rPr>
        <w:tab/>
      </w:r>
      <w:r>
        <w:rPr>
          <w:rFonts w:hint="eastAsia" w:asciiTheme="majorEastAsia" w:hAnsiTheme="majorEastAsia" w:eastAsiaTheme="majorEastAsia"/>
        </w:rPr>
        <w:t>保险金给付申请书；</w:t>
      </w:r>
    </w:p>
    <w:p>
      <w:pPr>
        <w:tabs>
          <w:tab w:val="left" w:pos="2100"/>
        </w:tabs>
        <w:adjustRightInd w:val="0"/>
        <w:snapToGrid w:val="0"/>
        <w:ind w:left="1470" w:leftChars="400" w:hanging="630" w:hangingChars="300"/>
        <w:jc w:val="left"/>
        <w:rPr>
          <w:rFonts w:asciiTheme="majorEastAsia" w:hAnsiTheme="majorEastAsia" w:eastAsiaTheme="majorEastAsia"/>
          <w:b/>
        </w:rPr>
      </w:pPr>
      <w:r>
        <w:rPr>
          <w:rFonts w:hint="eastAsia" w:asciiTheme="majorEastAsia" w:hAnsiTheme="majorEastAsia" w:eastAsiaTheme="majorEastAsia"/>
        </w:rPr>
        <w:t>（</w:t>
      </w:r>
      <w:r>
        <w:rPr>
          <w:rFonts w:asciiTheme="majorEastAsia" w:hAnsiTheme="majorEastAsia" w:eastAsiaTheme="majorEastAsia"/>
        </w:rPr>
        <w:t>2）</w:t>
      </w:r>
      <w:r>
        <w:rPr>
          <w:rFonts w:asciiTheme="majorEastAsia" w:hAnsiTheme="majorEastAsia" w:eastAsiaTheme="majorEastAsia"/>
        </w:rPr>
        <w:tab/>
      </w:r>
      <w:r>
        <w:rPr>
          <w:rFonts w:hint="eastAsia" w:asciiTheme="majorEastAsia" w:hAnsiTheme="majorEastAsia" w:eastAsiaTheme="majorEastAsia"/>
        </w:rPr>
        <w:t>保险单；</w:t>
      </w:r>
    </w:p>
    <w:p>
      <w:pPr>
        <w:tabs>
          <w:tab w:val="left" w:pos="2100"/>
        </w:tabs>
        <w:adjustRightInd w:val="0"/>
        <w:snapToGrid w:val="0"/>
        <w:ind w:left="1470" w:leftChars="400" w:hanging="630" w:hangingChars="300"/>
        <w:jc w:val="left"/>
        <w:rPr>
          <w:rFonts w:asciiTheme="majorEastAsia" w:hAnsiTheme="majorEastAsia" w:eastAsiaTheme="majorEastAsia"/>
          <w:b/>
        </w:rPr>
      </w:pPr>
      <w:r>
        <w:rPr>
          <w:rFonts w:hint="eastAsia" w:asciiTheme="majorEastAsia" w:hAnsiTheme="majorEastAsia" w:eastAsiaTheme="majorEastAsia"/>
        </w:rPr>
        <w:t>（</w:t>
      </w:r>
      <w:r>
        <w:rPr>
          <w:rFonts w:asciiTheme="majorEastAsia" w:hAnsiTheme="majorEastAsia" w:eastAsiaTheme="majorEastAsia"/>
        </w:rPr>
        <w:t>3）</w:t>
      </w:r>
      <w:r>
        <w:rPr>
          <w:rFonts w:asciiTheme="majorEastAsia" w:hAnsiTheme="majorEastAsia" w:eastAsiaTheme="majorEastAsia"/>
        </w:rPr>
        <w:tab/>
      </w:r>
      <w:r>
        <w:rPr>
          <w:rFonts w:hint="eastAsia" w:asciiTheme="majorEastAsia" w:hAnsiTheme="majorEastAsia" w:eastAsiaTheme="majorEastAsia"/>
        </w:rPr>
        <w:t>保险</w:t>
      </w:r>
      <w:r>
        <w:rPr>
          <w:rFonts w:asciiTheme="majorEastAsia" w:hAnsiTheme="majorEastAsia" w:eastAsiaTheme="majorEastAsia"/>
        </w:rPr>
        <w:t>金申请人、</w:t>
      </w:r>
      <w:r>
        <w:rPr>
          <w:rFonts w:hint="eastAsia" w:asciiTheme="majorEastAsia" w:hAnsiTheme="majorEastAsia" w:eastAsiaTheme="majorEastAsia"/>
        </w:rPr>
        <w:t>被保险人身份证明；</w:t>
      </w:r>
    </w:p>
    <w:p>
      <w:pPr>
        <w:tabs>
          <w:tab w:val="left" w:pos="2100"/>
        </w:tabs>
        <w:adjustRightInd w:val="0"/>
        <w:snapToGrid w:val="0"/>
        <w:ind w:left="1470" w:leftChars="400" w:hanging="630" w:hangingChars="300"/>
        <w:jc w:val="left"/>
        <w:rPr>
          <w:rFonts w:asciiTheme="majorEastAsia" w:hAnsiTheme="majorEastAsia" w:eastAsiaTheme="majorEastAsia"/>
          <w:b/>
        </w:rPr>
      </w:pPr>
      <w:r>
        <w:rPr>
          <w:rFonts w:hint="eastAsia" w:asciiTheme="majorEastAsia" w:hAnsiTheme="majorEastAsia" w:eastAsiaTheme="majorEastAsia"/>
        </w:rPr>
        <w:t>（</w:t>
      </w:r>
      <w:r>
        <w:rPr>
          <w:rFonts w:asciiTheme="majorEastAsia" w:hAnsiTheme="majorEastAsia" w:eastAsiaTheme="majorEastAsia"/>
        </w:rPr>
        <w:t>4）</w:t>
      </w:r>
      <w:r>
        <w:rPr>
          <w:rFonts w:asciiTheme="majorEastAsia" w:hAnsiTheme="majorEastAsia" w:eastAsiaTheme="majorEastAsia"/>
        </w:rPr>
        <w:tab/>
      </w:r>
      <w:r>
        <w:rPr>
          <w:rFonts w:hint="eastAsia" w:asciiTheme="majorEastAsia" w:hAnsiTheme="majorEastAsia" w:eastAsiaTheme="majorEastAsia"/>
        </w:rPr>
        <w:t>预防接种异常反应调查诊断结论或根据《鉴定办法》进行的预防接种异常反应鉴定结论；如对伤残</w:t>
      </w:r>
      <w:r>
        <w:rPr>
          <w:rFonts w:asciiTheme="majorEastAsia" w:hAnsiTheme="majorEastAsia" w:eastAsiaTheme="majorEastAsia"/>
        </w:rPr>
        <w:t>鉴定适用标准另有约定的，</w:t>
      </w:r>
      <w:r>
        <w:rPr>
          <w:rFonts w:hint="eastAsia" w:asciiTheme="majorEastAsia" w:hAnsiTheme="majorEastAsia" w:eastAsiaTheme="majorEastAsia"/>
        </w:rPr>
        <w:t>还应提供司法部门、二级及二级以上医院或保险人认可的医疗机构、保险人认可的其他鉴定机构出具的伤残鉴定诊断书；</w:t>
      </w:r>
    </w:p>
    <w:p>
      <w:pPr>
        <w:tabs>
          <w:tab w:val="left" w:pos="2100"/>
        </w:tabs>
        <w:adjustRightInd w:val="0"/>
        <w:snapToGrid w:val="0"/>
        <w:ind w:left="1470" w:leftChars="400" w:hanging="630" w:hangingChars="300"/>
        <w:jc w:val="left"/>
        <w:rPr>
          <w:rFonts w:asciiTheme="majorEastAsia" w:hAnsiTheme="majorEastAsia" w:eastAsiaTheme="majorEastAsia"/>
          <w:b/>
        </w:rPr>
      </w:pPr>
      <w:r>
        <w:rPr>
          <w:rFonts w:hint="eastAsia" w:asciiTheme="majorEastAsia" w:hAnsiTheme="majorEastAsia" w:eastAsiaTheme="majorEastAsia"/>
        </w:rPr>
        <w:t>（</w:t>
      </w:r>
      <w:r>
        <w:rPr>
          <w:rFonts w:asciiTheme="majorEastAsia" w:hAnsiTheme="majorEastAsia" w:eastAsiaTheme="majorEastAsia"/>
        </w:rPr>
        <w:t>5）</w:t>
      </w:r>
      <w:r>
        <w:rPr>
          <w:rFonts w:asciiTheme="majorEastAsia" w:hAnsiTheme="majorEastAsia" w:eastAsiaTheme="majorEastAsia"/>
        </w:rPr>
        <w:tab/>
      </w:r>
      <w:r>
        <w:rPr>
          <w:rFonts w:hint="eastAsia" w:asciiTheme="majorEastAsia" w:hAnsiTheme="majorEastAsia" w:eastAsiaTheme="majorEastAsia"/>
        </w:rPr>
        <w:t>如</w:t>
      </w:r>
      <w:r>
        <w:rPr>
          <w:rFonts w:asciiTheme="majorEastAsia" w:hAnsiTheme="majorEastAsia" w:eastAsiaTheme="majorEastAsia"/>
        </w:rPr>
        <w:t>申请</w:t>
      </w:r>
      <w:r>
        <w:rPr>
          <w:rFonts w:hint="eastAsia" w:asciiTheme="majorEastAsia" w:hAnsiTheme="majorEastAsia" w:eastAsiaTheme="majorEastAsia"/>
        </w:rPr>
        <w:t>预防接种事故理赔</w:t>
      </w:r>
      <w:r>
        <w:rPr>
          <w:rFonts w:asciiTheme="majorEastAsia" w:hAnsiTheme="majorEastAsia" w:eastAsiaTheme="majorEastAsia"/>
        </w:rPr>
        <w:t>的，还需提供</w:t>
      </w:r>
      <w:r>
        <w:rPr>
          <w:rFonts w:hint="eastAsia" w:asciiTheme="majorEastAsia" w:hAnsiTheme="majorEastAsia" w:eastAsiaTheme="majorEastAsia"/>
        </w:rPr>
        <w:t>药品监督管理部门出具的疫苗质量检验结果报告；</w:t>
      </w:r>
    </w:p>
    <w:p>
      <w:pPr>
        <w:tabs>
          <w:tab w:val="left" w:pos="2100"/>
        </w:tabs>
        <w:adjustRightInd w:val="0"/>
        <w:snapToGrid w:val="0"/>
        <w:ind w:left="1470" w:leftChars="400" w:hanging="630" w:hangingChars="300"/>
        <w:jc w:val="left"/>
        <w:rPr>
          <w:rFonts w:asciiTheme="majorEastAsia" w:hAnsiTheme="majorEastAsia" w:eastAsiaTheme="majorEastAsia"/>
          <w:b/>
        </w:rPr>
      </w:pPr>
      <w:r>
        <w:rPr>
          <w:rFonts w:hint="eastAsia" w:asciiTheme="majorEastAsia" w:hAnsiTheme="majorEastAsia" w:eastAsiaTheme="majorEastAsia"/>
        </w:rPr>
        <w:t>（</w:t>
      </w:r>
      <w:r>
        <w:rPr>
          <w:rFonts w:asciiTheme="majorEastAsia" w:hAnsiTheme="majorEastAsia" w:eastAsiaTheme="majorEastAsia"/>
        </w:rPr>
        <w:t>6</w:t>
      </w:r>
      <w:r>
        <w:rPr>
          <w:rFonts w:hint="eastAsia" w:asciiTheme="majorEastAsia" w:hAnsiTheme="majorEastAsia" w:eastAsiaTheme="majorEastAsia"/>
        </w:rPr>
        <w:t>）</w:t>
      </w:r>
      <w:r>
        <w:rPr>
          <w:rFonts w:asciiTheme="majorEastAsia" w:hAnsiTheme="majorEastAsia" w:eastAsiaTheme="majorEastAsia"/>
        </w:rPr>
        <w:tab/>
      </w:r>
      <w:r>
        <w:rPr>
          <w:rFonts w:hint="eastAsia" w:asciiTheme="majorEastAsia" w:hAnsiTheme="majorEastAsia" w:eastAsiaTheme="majorEastAsia"/>
        </w:rPr>
        <w:t>如</w:t>
      </w:r>
      <w:r>
        <w:rPr>
          <w:rFonts w:asciiTheme="majorEastAsia" w:hAnsiTheme="majorEastAsia" w:eastAsiaTheme="majorEastAsia"/>
        </w:rPr>
        <w:t>申请</w:t>
      </w:r>
      <w:r>
        <w:rPr>
          <w:rFonts w:hint="eastAsia" w:asciiTheme="majorEastAsia" w:hAnsiTheme="majorEastAsia" w:eastAsiaTheme="majorEastAsia"/>
        </w:rPr>
        <w:t>疫苗质量事故理赔</w:t>
      </w:r>
      <w:r>
        <w:rPr>
          <w:rFonts w:asciiTheme="majorEastAsia" w:hAnsiTheme="majorEastAsia" w:eastAsiaTheme="majorEastAsia"/>
        </w:rPr>
        <w:t>的，还需提供</w:t>
      </w:r>
      <w:r>
        <w:rPr>
          <w:rFonts w:hint="eastAsia" w:asciiTheme="majorEastAsia" w:hAnsiTheme="majorEastAsia" w:eastAsiaTheme="majorEastAsia"/>
        </w:rPr>
        <w:t>医疗事故技术鉴定结论；</w:t>
      </w:r>
    </w:p>
    <w:p>
      <w:pPr>
        <w:tabs>
          <w:tab w:val="left" w:pos="2100"/>
        </w:tabs>
        <w:adjustRightInd w:val="0"/>
        <w:snapToGrid w:val="0"/>
        <w:ind w:left="1470" w:leftChars="400" w:hanging="630" w:hangingChars="300"/>
        <w:jc w:val="left"/>
        <w:rPr>
          <w:rFonts w:asciiTheme="majorEastAsia" w:hAnsiTheme="majorEastAsia" w:eastAsiaTheme="majorEastAsia"/>
          <w:b/>
        </w:rPr>
      </w:pPr>
      <w:r>
        <w:rPr>
          <w:rFonts w:hint="eastAsia" w:asciiTheme="majorEastAsia" w:hAnsiTheme="majorEastAsia" w:eastAsiaTheme="majorEastAsia"/>
        </w:rPr>
        <w:t>（</w:t>
      </w:r>
      <w:r>
        <w:rPr>
          <w:rFonts w:asciiTheme="majorEastAsia" w:hAnsiTheme="majorEastAsia" w:eastAsiaTheme="majorEastAsia"/>
        </w:rPr>
        <w:t>7</w:t>
      </w:r>
      <w:r>
        <w:rPr>
          <w:rFonts w:hint="eastAsia" w:asciiTheme="majorEastAsia" w:hAnsiTheme="majorEastAsia" w:eastAsiaTheme="majorEastAsia"/>
        </w:rPr>
        <w:t>）</w:t>
      </w:r>
      <w:r>
        <w:rPr>
          <w:rFonts w:asciiTheme="majorEastAsia" w:hAnsiTheme="majorEastAsia" w:eastAsiaTheme="majorEastAsia"/>
        </w:rPr>
        <w:tab/>
      </w:r>
      <w:r>
        <w:rPr>
          <w:rFonts w:hint="eastAsia" w:asciiTheme="majorEastAsia" w:hAnsiTheme="majorEastAsia" w:eastAsiaTheme="majorEastAsia"/>
        </w:rPr>
        <w:t>保险金申请人所能提供的其他与确认保险事故的性质、原因、损失程度等有关的证明和资料。</w:t>
      </w:r>
    </w:p>
    <w:p>
      <w:pPr>
        <w:pStyle w:val="2"/>
      </w:pPr>
      <w:r>
        <w:rPr>
          <w:rFonts w:hint="eastAsia"/>
        </w:rPr>
        <w:t>6</w:t>
      </w:r>
      <w:r>
        <w:rPr>
          <w:rFonts w:hint="eastAsia"/>
        </w:rPr>
        <w:tab/>
      </w:r>
      <w:r>
        <w:rPr>
          <w:rFonts w:hint="eastAsia"/>
        </w:rPr>
        <w:t>保险合同解除</w:t>
      </w:r>
    </w:p>
    <w:p>
      <w:pPr>
        <w:pStyle w:val="20"/>
        <w:ind w:left="840" w:leftChars="400" w:firstLine="420"/>
      </w:pPr>
      <w:r>
        <w:rPr>
          <w:rFonts w:hint="eastAsia"/>
          <w:b w:val="0"/>
        </w:rPr>
        <w:t>本保险合同成立后，除另有约定外，投保人可以要求解除本保险合同；</w:t>
      </w:r>
      <w:r>
        <w:rPr>
          <w:rFonts w:hint="eastAsia"/>
        </w:rPr>
        <w:t>但发生下列情况之一的，投保人不得要求解除保险合同：</w:t>
      </w:r>
    </w:p>
    <w:p>
      <w:pPr>
        <w:pStyle w:val="20"/>
        <w:ind w:left="840" w:leftChars="400" w:firstLine="420"/>
      </w:pPr>
      <w:r>
        <w:rPr>
          <w:rFonts w:hint="eastAsia"/>
        </w:rPr>
        <w:t>（1）保险人已给付保险金的；</w:t>
      </w:r>
    </w:p>
    <w:p>
      <w:pPr>
        <w:pStyle w:val="20"/>
        <w:ind w:left="840" w:leftChars="400" w:firstLine="420"/>
      </w:pPr>
      <w:r>
        <w:rPr>
          <w:rFonts w:hint="eastAsia"/>
        </w:rPr>
        <w:t>（2）已发生本合同约定的保险事故但尚未给付保险金的；</w:t>
      </w:r>
    </w:p>
    <w:p>
      <w:pPr>
        <w:pStyle w:val="20"/>
        <w:ind w:left="840" w:leftChars="400" w:firstLine="420"/>
      </w:pPr>
      <w:r>
        <w:rPr>
          <w:rFonts w:hint="eastAsia"/>
        </w:rPr>
        <w:t>（3）被保险人已接受</w:t>
      </w:r>
      <w:r>
        <w:t>预防接种</w:t>
      </w:r>
      <w:r>
        <w:rPr>
          <w:rFonts w:hint="eastAsia"/>
        </w:rPr>
        <w:t>的。</w:t>
      </w:r>
    </w:p>
    <w:p>
      <w:pPr>
        <w:pStyle w:val="20"/>
        <w:ind w:left="840" w:leftChars="400" w:firstLine="420"/>
        <w:rPr>
          <w:b w:val="0"/>
        </w:rPr>
      </w:pPr>
      <w:r>
        <w:rPr>
          <w:rFonts w:hint="eastAsia"/>
          <w:b w:val="0"/>
        </w:rPr>
        <w:t>投保人要求解除本保险合同时，应填写保险合同解除申请书，并提交保险单、保险费交付凭证和投保人身份证明。本保险合同自本保险人接到保险合同解除申请书时终止。本保险人于接到保险合同解除申请书之日起三十日内向投保人退还本保险合同的</w:t>
      </w:r>
      <w:r>
        <w:rPr>
          <w:rFonts w:hint="eastAsia"/>
        </w:rPr>
        <w:t>现金价值（见释义）；</w:t>
      </w:r>
      <w:r>
        <w:t>但</w:t>
      </w:r>
      <w:r>
        <w:rPr>
          <w:rFonts w:hint="eastAsia"/>
        </w:rPr>
        <w:t>若</w:t>
      </w:r>
      <w:r>
        <w:t>投保人在</w:t>
      </w:r>
      <w:r>
        <w:rPr>
          <w:rFonts w:hint="eastAsia"/>
        </w:rPr>
        <w:t>保险责任开始前就要求解除合同，则保险人全额退还已交纳</w:t>
      </w:r>
      <w:r>
        <w:t>的保险费</w:t>
      </w:r>
      <w:r>
        <w:rPr>
          <w:rFonts w:hint="eastAsia"/>
        </w:rPr>
        <w:t>。</w:t>
      </w:r>
    </w:p>
    <w:p>
      <w:pPr>
        <w:pStyle w:val="2"/>
      </w:pPr>
      <w:r>
        <w:rPr>
          <w:rFonts w:hint="eastAsia"/>
        </w:rPr>
        <w:t>7</w:t>
      </w:r>
      <w:r>
        <w:rPr>
          <w:rFonts w:hint="eastAsia"/>
        </w:rPr>
        <w:tab/>
      </w:r>
      <w:r>
        <w:rPr>
          <w:rFonts w:hint="eastAsia"/>
        </w:rPr>
        <w:t>争议处理和法律适用</w:t>
      </w:r>
    </w:p>
    <w:p>
      <w:pPr>
        <w:pStyle w:val="3"/>
      </w:pPr>
      <w:r>
        <w:rPr>
          <w:rFonts w:hint="eastAsia"/>
        </w:rPr>
        <w:t>7.1</w:t>
      </w:r>
      <w:r>
        <w:tab/>
      </w:r>
      <w:r>
        <w:rPr>
          <w:rFonts w:hint="eastAsia"/>
        </w:rPr>
        <w:t>争议处理</w:t>
      </w:r>
    </w:p>
    <w:p>
      <w:pPr>
        <w:pStyle w:val="20"/>
        <w:tabs>
          <w:tab w:val="clear" w:pos="840"/>
        </w:tabs>
        <w:ind w:left="840" w:leftChars="400" w:firstLine="420"/>
        <w:rPr>
          <w:b w:val="0"/>
        </w:rPr>
      </w:pPr>
      <w:r>
        <w:rPr>
          <w:rFonts w:hint="eastAsia"/>
          <w:b w:val="0"/>
        </w:rPr>
        <w:t>合同争议解决方式由当事人在合同约定时从下列两种方式中选择一种：</w:t>
      </w:r>
    </w:p>
    <w:p>
      <w:pPr>
        <w:pStyle w:val="20"/>
        <w:tabs>
          <w:tab w:val="clear" w:pos="840"/>
        </w:tabs>
        <w:ind w:left="840" w:leftChars="400" w:firstLine="420"/>
        <w:rPr>
          <w:b w:val="0"/>
        </w:rPr>
      </w:pPr>
      <w:r>
        <w:rPr>
          <w:rFonts w:hint="eastAsia"/>
          <w:b w:val="0"/>
        </w:rPr>
        <w:t>（1）因履行本合同发生的争议，由当事人协商解决，协商不成的，提交保险单载明的仲裁委员会仲裁；</w:t>
      </w:r>
    </w:p>
    <w:p>
      <w:pPr>
        <w:pStyle w:val="20"/>
        <w:tabs>
          <w:tab w:val="clear" w:pos="840"/>
        </w:tabs>
        <w:ind w:left="840" w:leftChars="400" w:firstLine="420"/>
        <w:rPr>
          <w:b w:val="0"/>
        </w:rPr>
      </w:pPr>
      <w:r>
        <w:rPr>
          <w:rFonts w:hint="eastAsia"/>
          <w:b w:val="0"/>
        </w:rPr>
        <w:t>（2）因履行本合同发生的争议，由当事人协商解决，协商不成的，依法向人民法院起诉。</w:t>
      </w:r>
    </w:p>
    <w:p>
      <w:pPr>
        <w:pStyle w:val="3"/>
      </w:pPr>
      <w:r>
        <w:rPr>
          <w:rFonts w:hint="eastAsia"/>
        </w:rPr>
        <w:t>7.2</w:t>
      </w:r>
      <w:r>
        <w:rPr>
          <w:rFonts w:hint="eastAsia"/>
        </w:rPr>
        <w:tab/>
      </w:r>
      <w:r>
        <w:rPr>
          <w:rFonts w:hint="eastAsia"/>
        </w:rPr>
        <w:t>法律适用</w:t>
      </w:r>
    </w:p>
    <w:p>
      <w:pPr>
        <w:pStyle w:val="20"/>
        <w:tabs>
          <w:tab w:val="clear" w:pos="840"/>
        </w:tabs>
        <w:ind w:left="840" w:leftChars="400" w:firstLine="420"/>
        <w:rPr>
          <w:b w:val="0"/>
        </w:rPr>
      </w:pPr>
      <w:r>
        <w:rPr>
          <w:rFonts w:hint="eastAsia"/>
          <w:b w:val="0"/>
        </w:rPr>
        <w:t>与本保险合同有关的以及履行本保险合同产生的一切争议处理适用中华人民共和国法律（不包括港澳台地区法律）。</w:t>
      </w:r>
    </w:p>
    <w:p>
      <w:pPr>
        <w:pStyle w:val="2"/>
      </w:pPr>
      <w:r>
        <w:rPr>
          <w:rFonts w:hint="eastAsia"/>
        </w:rPr>
        <w:t>8</w:t>
      </w:r>
      <w:r>
        <w:rPr>
          <w:rFonts w:hint="eastAsia"/>
        </w:rPr>
        <w:tab/>
      </w:r>
      <w:r>
        <w:rPr>
          <w:rFonts w:hint="eastAsia"/>
        </w:rPr>
        <w:t>合法性保证</w:t>
      </w:r>
    </w:p>
    <w:p>
      <w:pPr>
        <w:pStyle w:val="20"/>
        <w:tabs>
          <w:tab w:val="clear" w:pos="840"/>
        </w:tabs>
        <w:adjustRightInd w:val="0"/>
        <w:snapToGrid w:val="0"/>
        <w:ind w:left="840" w:leftChars="400" w:firstLine="420"/>
      </w:pPr>
      <w:r>
        <w:rPr>
          <w:rFonts w:hint="eastAsia"/>
          <w:b w:val="0"/>
        </w:rPr>
        <w:t>本保险合同约定与《中华人民共和国保险法》等法律规定相悖之处，以法律规定为准。本保险合同未尽事宜，以法律规定为准。</w:t>
      </w:r>
    </w:p>
    <w:p>
      <w:pPr>
        <w:pStyle w:val="2"/>
      </w:pPr>
      <w:r>
        <w:rPr>
          <w:rFonts w:hint="eastAsia"/>
        </w:rPr>
        <w:t>9</w:t>
      </w:r>
      <w:r>
        <w:rPr>
          <w:rFonts w:hint="eastAsia"/>
        </w:rPr>
        <w:tab/>
      </w:r>
      <w:r>
        <w:rPr>
          <w:rFonts w:hint="eastAsia"/>
        </w:rPr>
        <w:t>释义</w:t>
      </w:r>
    </w:p>
    <w:p>
      <w:pPr>
        <w:pStyle w:val="3"/>
      </w:pPr>
      <w:r>
        <w:t>9</w:t>
      </w:r>
      <w:r>
        <w:rPr>
          <w:rFonts w:hint="eastAsia"/>
        </w:rPr>
        <w:t>.1</w:t>
      </w:r>
      <w:r>
        <w:rPr>
          <w:rFonts w:hint="eastAsia"/>
        </w:rPr>
        <w:tab/>
      </w:r>
      <w:r>
        <w:rPr>
          <w:rFonts w:hint="eastAsia"/>
        </w:rPr>
        <w:t>周岁</w:t>
      </w:r>
    </w:p>
    <w:p>
      <w:pPr>
        <w:pStyle w:val="26"/>
        <w:ind w:left="945" w:leftChars="450"/>
        <w:rPr>
          <w:rFonts w:ascii="宋体" w:hAnsi="宋体"/>
          <w:szCs w:val="21"/>
        </w:rPr>
      </w:pPr>
      <w:r>
        <w:rPr>
          <w:rFonts w:hint="eastAsia" w:ascii="宋体" w:hAnsi="宋体"/>
          <w:szCs w:val="21"/>
        </w:rPr>
        <w:t>以法定身份证明文件中记载的出生日期为基础计算的实足年龄。</w:t>
      </w:r>
    </w:p>
    <w:p>
      <w:pPr>
        <w:pStyle w:val="3"/>
      </w:pPr>
      <w:r>
        <w:rPr>
          <w:rFonts w:hint="eastAsia"/>
        </w:rPr>
        <w:t>9.2</w:t>
      </w:r>
      <w:r>
        <w:rPr>
          <w:rFonts w:hint="eastAsia"/>
        </w:rPr>
        <w:tab/>
      </w:r>
      <w:r>
        <w:rPr>
          <w:rFonts w:hint="eastAsia"/>
        </w:rPr>
        <w:t>预防接种</w:t>
      </w:r>
    </w:p>
    <w:p>
      <w:pPr>
        <w:pStyle w:val="20"/>
        <w:tabs>
          <w:tab w:val="clear" w:pos="840"/>
        </w:tabs>
        <w:ind w:left="840" w:leftChars="400" w:firstLine="420"/>
        <w:rPr>
          <w:b w:val="0"/>
        </w:rPr>
      </w:pPr>
      <w:r>
        <w:rPr>
          <w:rFonts w:hint="eastAsia"/>
          <w:b w:val="0"/>
        </w:rPr>
        <w:t>是指利用人工制备的抗原或抗体通过适宜的途径对机体进行接种，使机体获得对某种传染病的特异免疫力，以提高个体或群体的免疫水平，预防和控制针对传染病的发生和流行。</w:t>
      </w:r>
    </w:p>
    <w:p>
      <w:pPr>
        <w:pStyle w:val="3"/>
      </w:pPr>
      <w:r>
        <w:rPr>
          <w:rFonts w:hint="eastAsia"/>
        </w:rPr>
        <w:t>9.3</w:t>
      </w:r>
      <w:r>
        <w:rPr>
          <w:rFonts w:hint="eastAsia"/>
        </w:rPr>
        <w:tab/>
      </w:r>
      <w:r>
        <w:rPr>
          <w:rFonts w:hint="eastAsia"/>
        </w:rPr>
        <w:t>疫苗</w:t>
      </w:r>
    </w:p>
    <w:p>
      <w:pPr>
        <w:pStyle w:val="20"/>
        <w:tabs>
          <w:tab w:val="clear" w:pos="840"/>
        </w:tabs>
        <w:ind w:left="840" w:leftChars="400" w:firstLine="420"/>
        <w:rPr>
          <w:b w:val="0"/>
        </w:rPr>
      </w:pPr>
      <w:r>
        <w:rPr>
          <w:rFonts w:hint="eastAsia"/>
          <w:b w:val="0"/>
        </w:rPr>
        <w:t>是指为了预防、控制传染病的发生、流行，用于人体预防接种的疫苗类预防性生物制品。根据</w:t>
      </w:r>
      <w:r>
        <w:rPr>
          <w:rFonts w:hint="eastAsia" w:asciiTheme="minorEastAsia" w:hAnsiTheme="minorEastAsia" w:eastAsiaTheme="minorEastAsia"/>
          <w:b w:val="0"/>
        </w:rPr>
        <w:t>国家最新修订颁布的</w:t>
      </w:r>
      <w:r>
        <w:rPr>
          <w:rFonts w:hint="eastAsia"/>
          <w:b w:val="0"/>
        </w:rPr>
        <w:t>《疫苗流通和预防接种管理条例》，分为两类：</w:t>
      </w:r>
    </w:p>
    <w:p>
      <w:pPr>
        <w:pStyle w:val="20"/>
        <w:tabs>
          <w:tab w:val="clear" w:pos="840"/>
        </w:tabs>
        <w:ind w:left="840" w:leftChars="400" w:firstLine="420"/>
        <w:rPr>
          <w:b w:val="0"/>
        </w:rPr>
      </w:pPr>
      <w:r>
        <w:rPr>
          <w:rFonts w:hint="eastAsia"/>
          <w:b w:val="0"/>
        </w:rPr>
        <w:t>第一类疫苗，是指政府免费向公民提供，公民应当依照政府的规定受种的疫苗，包括国家免疫规划确定的疫苗，省、自治区、直辖市人民政府在执行国家免疫规划时增加的疫苗，以及县级以上人民政府或者其卫生主管部门组织的应急接种或者群体性预防接种所使用的疫苗；</w:t>
      </w:r>
    </w:p>
    <w:p>
      <w:pPr>
        <w:pStyle w:val="20"/>
        <w:tabs>
          <w:tab w:val="clear" w:pos="840"/>
        </w:tabs>
        <w:ind w:left="840" w:leftChars="400" w:firstLine="420"/>
        <w:rPr>
          <w:b w:val="0"/>
        </w:rPr>
      </w:pPr>
      <w:r>
        <w:rPr>
          <w:rFonts w:hint="eastAsia"/>
          <w:b w:val="0"/>
        </w:rPr>
        <w:t>第二类疫苗，是指由公民自费并且自愿受种的其他疫苗。</w:t>
      </w:r>
    </w:p>
    <w:p>
      <w:pPr>
        <w:pStyle w:val="3"/>
      </w:pPr>
      <w:r>
        <w:rPr>
          <w:rFonts w:hint="eastAsia"/>
        </w:rPr>
        <w:t>9.4</w:t>
      </w:r>
      <w:r>
        <w:tab/>
      </w:r>
      <w:r>
        <w:rPr>
          <w:rFonts w:hint="eastAsia"/>
        </w:rPr>
        <w:t>《预防接种异常反应鉴定办法》</w:t>
      </w:r>
    </w:p>
    <w:p>
      <w:pPr>
        <w:pStyle w:val="20"/>
        <w:tabs>
          <w:tab w:val="clear" w:pos="840"/>
        </w:tabs>
        <w:ind w:left="840" w:leftChars="400" w:firstLine="420"/>
        <w:rPr>
          <w:b w:val="0"/>
        </w:rPr>
      </w:pPr>
      <w:r>
        <w:rPr>
          <w:rFonts w:hint="eastAsia"/>
          <w:b w:val="0"/>
        </w:rPr>
        <w:t>是指原中华人民共和国卫生部于2008年7月17日颁布</w:t>
      </w:r>
      <w:r>
        <w:rPr>
          <w:b w:val="0"/>
        </w:rPr>
        <w:t>的</w:t>
      </w:r>
      <w:r>
        <w:rPr>
          <w:rFonts w:hint="eastAsia"/>
          <w:b w:val="0"/>
        </w:rPr>
        <w:t>《预防接种异常反应鉴定办法》（中华人民共和国卫生部令第60号）</w:t>
      </w:r>
      <w:r>
        <w:rPr>
          <w:b w:val="0"/>
        </w:rPr>
        <w:t>。</w:t>
      </w:r>
    </w:p>
    <w:p>
      <w:pPr>
        <w:pStyle w:val="20"/>
        <w:tabs>
          <w:tab w:val="clear" w:pos="840"/>
        </w:tabs>
        <w:ind w:left="840" w:leftChars="400" w:firstLine="420"/>
        <w:rPr>
          <w:b w:val="0"/>
        </w:rPr>
      </w:pPr>
      <w:r>
        <w:rPr>
          <w:rFonts w:hint="eastAsia" w:asciiTheme="minorEastAsia" w:hAnsiTheme="minorEastAsia" w:eastAsiaTheme="minorEastAsia"/>
        </w:rPr>
        <w:t>（上述政策文件如有更新、替代、</w:t>
      </w:r>
      <w:r>
        <w:rPr>
          <w:rFonts w:asciiTheme="minorEastAsia" w:hAnsiTheme="minorEastAsia" w:eastAsiaTheme="minorEastAsia"/>
        </w:rPr>
        <w:t>补充</w:t>
      </w:r>
      <w:r>
        <w:rPr>
          <w:rFonts w:hint="eastAsia" w:asciiTheme="minorEastAsia" w:hAnsiTheme="minorEastAsia" w:eastAsiaTheme="minorEastAsia"/>
        </w:rPr>
        <w:t>的，应以更新、替代、</w:t>
      </w:r>
      <w:r>
        <w:rPr>
          <w:rFonts w:asciiTheme="minorEastAsia" w:hAnsiTheme="minorEastAsia" w:eastAsiaTheme="minorEastAsia"/>
        </w:rPr>
        <w:t>补充</w:t>
      </w:r>
      <w:r>
        <w:rPr>
          <w:rFonts w:hint="eastAsia" w:asciiTheme="minorEastAsia" w:hAnsiTheme="minorEastAsia" w:eastAsiaTheme="minorEastAsia"/>
        </w:rPr>
        <w:t>后最新的文件为准）</w:t>
      </w:r>
    </w:p>
    <w:p>
      <w:pPr>
        <w:pStyle w:val="3"/>
      </w:pPr>
      <w:r>
        <w:rPr>
          <w:rFonts w:hint="eastAsia"/>
        </w:rPr>
        <w:t>9.</w:t>
      </w:r>
      <w:r>
        <w:t>5</w:t>
      </w:r>
      <w:r>
        <w:rPr>
          <w:rFonts w:hint="eastAsia"/>
        </w:rPr>
        <w:tab/>
      </w:r>
      <w:r>
        <w:rPr>
          <w:rFonts w:hint="eastAsia"/>
        </w:rPr>
        <w:t>心因性</w:t>
      </w:r>
      <w:r>
        <w:t>反应</w:t>
      </w:r>
    </w:p>
    <w:p>
      <w:pPr>
        <w:pStyle w:val="20"/>
        <w:tabs>
          <w:tab w:val="clear" w:pos="840"/>
        </w:tabs>
        <w:ind w:left="840" w:leftChars="400" w:firstLine="420"/>
        <w:rPr>
          <w:b w:val="0"/>
        </w:rPr>
      </w:pPr>
      <w:r>
        <w:rPr>
          <w:rFonts w:hint="eastAsia"/>
          <w:b w:val="0"/>
        </w:rPr>
        <w:t>在预防接种实施过程中或接种后因受种者心理因素发生的个体或者群体的反应。</w:t>
      </w:r>
    </w:p>
    <w:p>
      <w:pPr>
        <w:pStyle w:val="20"/>
        <w:tabs>
          <w:tab w:val="clear" w:pos="840"/>
        </w:tabs>
        <w:ind w:left="840" w:leftChars="400" w:firstLine="420"/>
        <w:rPr>
          <w:b w:val="0"/>
        </w:rPr>
      </w:pPr>
      <w:r>
        <w:rPr>
          <w:rFonts w:hint="eastAsia"/>
          <w:b w:val="0"/>
        </w:rPr>
        <w:t>心因性</w:t>
      </w:r>
      <w:r>
        <w:rPr>
          <w:b w:val="0"/>
        </w:rPr>
        <w:t>反应</w:t>
      </w:r>
      <w:r>
        <w:rPr>
          <w:rFonts w:hint="eastAsia"/>
          <w:b w:val="0"/>
        </w:rPr>
        <w:t>的判定，以预防接种异常反应调查诊断结论或者根据《鉴定办法》进行的预防接种异常反应鉴定结论为准。</w:t>
      </w:r>
    </w:p>
    <w:p>
      <w:pPr>
        <w:pStyle w:val="32"/>
        <w:rPr>
          <w:szCs w:val="21"/>
        </w:rPr>
      </w:pPr>
      <w:r>
        <w:fldChar w:fldCharType="begin"/>
      </w:r>
      <w:r>
        <w:instrText xml:space="preserve"> HYPERLINK  \l "_5_保险金申请与给付" </w:instrText>
      </w:r>
      <w:r>
        <w:fldChar w:fldCharType="separate"/>
      </w:r>
      <w:r>
        <w:t>9.</w:t>
      </w:r>
      <w:r>
        <w:rPr>
          <w:szCs w:val="21"/>
        </w:rPr>
        <w:t>6</w:t>
      </w:r>
      <w:r>
        <w:tab/>
      </w:r>
      <w:r>
        <w:rPr>
          <w:rFonts w:hint="eastAsia"/>
        </w:rPr>
        <w:t>保险费约定支付日</w:t>
      </w:r>
    </w:p>
    <w:p>
      <w:pPr>
        <w:pStyle w:val="20"/>
        <w:tabs>
          <w:tab w:val="clear" w:pos="840"/>
        </w:tabs>
        <w:ind w:left="840" w:leftChars="400" w:firstLine="420"/>
        <w:rPr>
          <w:rFonts w:hint="eastAsia"/>
          <w:b w:val="0"/>
        </w:rPr>
      </w:pPr>
      <w:r>
        <w:fldChar w:fldCharType="end"/>
      </w:r>
      <w:r>
        <w:rPr>
          <w:rFonts w:hint="eastAsia"/>
        </w:rPr>
        <w:t>指保险合同生效日在每月的对应日。如果当月无对应的同一日，则以该月最后一日为对应日。如保险合同生效日为2017年6月8日，则次月的保险费约定支付日为2017年7月8日，以此类推，则最后一个月的保险费约定支付日为2018年5月8日。</w:t>
      </w:r>
    </w:p>
    <w:p>
      <w:pPr>
        <w:pStyle w:val="3"/>
      </w:pPr>
      <w:r>
        <w:rPr>
          <w:color w:val="000000"/>
        </w:rPr>
        <w:fldChar w:fldCharType="begin"/>
      </w:r>
      <w:r>
        <w:instrText xml:space="preserve"> HYPERLINK  \l "_5_保险金申请与给付" </w:instrText>
      </w:r>
      <w:r>
        <w:rPr>
          <w:color w:val="000000"/>
        </w:rPr>
        <w:fldChar w:fldCharType="separate"/>
      </w:r>
      <w:r>
        <w:t>9.7</w:t>
      </w:r>
      <w:r>
        <w:tab/>
      </w:r>
      <w:r>
        <w:rPr>
          <w:rFonts w:hint="eastAsia"/>
        </w:rPr>
        <w:t>不可抗力</w:t>
      </w:r>
    </w:p>
    <w:p>
      <w:pPr>
        <w:ind w:left="840" w:leftChars="400" w:firstLine="420" w:firstLineChars="200"/>
        <w:rPr>
          <w:b/>
        </w:rPr>
      </w:pPr>
      <w:r>
        <w:rPr>
          <w:rFonts w:ascii="宋体" w:hAnsi="宋体"/>
        </w:rPr>
        <w:fldChar w:fldCharType="end"/>
      </w:r>
      <w:r>
        <w:rPr>
          <w:rFonts w:hint="eastAsia" w:ascii="宋体" w:hAnsi="宋体"/>
          <w:szCs w:val="21"/>
        </w:rPr>
        <w:t>指不能预见、不能避免并不能克服的客观情况。</w:t>
      </w:r>
    </w:p>
    <w:p>
      <w:pPr>
        <w:pStyle w:val="3"/>
      </w:pPr>
      <w:r>
        <w:rPr>
          <w:rFonts w:hint="eastAsia"/>
        </w:rPr>
        <w:t>9.</w:t>
      </w:r>
      <w:r>
        <w:t>8</w:t>
      </w:r>
      <w:r>
        <w:rPr>
          <w:rFonts w:hint="eastAsia"/>
        </w:rPr>
        <w:tab/>
      </w:r>
      <w:r>
        <w:rPr>
          <w:rFonts w:hint="eastAsia"/>
        </w:rPr>
        <w:t>保险金申请人</w:t>
      </w:r>
    </w:p>
    <w:p>
      <w:pPr>
        <w:pStyle w:val="26"/>
      </w:pPr>
      <w:r>
        <w:rPr>
          <w:rFonts w:hint="eastAsia" w:ascii="宋体" w:hAnsi="宋体"/>
          <w:szCs w:val="21"/>
        </w:rPr>
        <w:t>除另有约定外，</w:t>
      </w:r>
      <w:r>
        <w:rPr>
          <w:rFonts w:hint="eastAsia" w:asciiTheme="minorEastAsia" w:hAnsiTheme="minorEastAsia" w:eastAsiaTheme="minorEastAsia"/>
          <w:szCs w:val="21"/>
        </w:rPr>
        <w:t>身故保险金申请人是指受益人或被保险人的继承人或依法享有保险金请求权的其他自然人；其他保险金申请人是指被保险人本人</w:t>
      </w:r>
      <w:r>
        <w:rPr>
          <w:rFonts w:hint="eastAsia"/>
        </w:rPr>
        <w:t>。</w:t>
      </w:r>
    </w:p>
    <w:p>
      <w:pPr>
        <w:pStyle w:val="3"/>
      </w:pPr>
      <w:r>
        <w:t>9.9</w:t>
      </w:r>
      <w:r>
        <w:rPr>
          <w:rFonts w:hint="eastAsia"/>
        </w:rPr>
        <w:tab/>
      </w:r>
      <w:r>
        <w:rPr>
          <w:rFonts w:hint="eastAsia"/>
        </w:rPr>
        <w:t>现金价值</w:t>
      </w:r>
    </w:p>
    <w:p>
      <w:pPr>
        <w:pStyle w:val="26"/>
        <w:rPr>
          <w:rFonts w:ascii="宋体" w:hAnsi="宋体"/>
          <w:szCs w:val="21"/>
        </w:rPr>
      </w:pPr>
      <w:r>
        <w:rPr>
          <w:rFonts w:hint="eastAsia" w:ascii="宋体" w:hAnsi="宋体"/>
          <w:szCs w:val="21"/>
        </w:rPr>
        <w:t>除另有约定外</w:t>
      </w:r>
      <w:r>
        <w:rPr>
          <w:rFonts w:hint="eastAsia" w:ascii="宋体" w:hAnsi="宋体"/>
        </w:rPr>
        <w:t>，</w:t>
      </w:r>
      <w:r>
        <w:rPr>
          <w:rFonts w:hint="eastAsia" w:ascii="宋体" w:hAnsi="宋体"/>
          <w:szCs w:val="21"/>
        </w:rPr>
        <w:t>按下述</w:t>
      </w:r>
      <w:r>
        <w:rPr>
          <w:rFonts w:ascii="宋体" w:hAnsi="宋体"/>
          <w:szCs w:val="21"/>
        </w:rPr>
        <w:t>公式计算现金价值：</w:t>
      </w:r>
    </w:p>
    <w:p>
      <w:pPr>
        <w:pStyle w:val="26"/>
        <w:rPr>
          <w:szCs w:val="21"/>
        </w:rPr>
      </w:pPr>
      <w:r>
        <w:rPr>
          <w:rFonts w:hint="eastAsia" w:ascii="宋体" w:hAnsi="宋体"/>
          <w:szCs w:val="21"/>
        </w:rPr>
        <w:t>（1）若选择年交保险费，</w:t>
      </w:r>
      <w:r>
        <w:rPr>
          <w:rFonts w:hint="eastAsia" w:ascii="宋体" w:hAnsi="宋体"/>
          <w:spacing w:val="8"/>
          <w:shd w:val="clear" w:color="auto" w:fill="FFFFFF"/>
        </w:rPr>
        <w:t>现金价值</w:t>
      </w:r>
      <w:r>
        <w:rPr>
          <w:rFonts w:hint="eastAsia" w:ascii="PingFangTC-light" w:hAnsi="PingFangTC-light"/>
          <w:spacing w:val="8"/>
          <w:shd w:val="clear" w:color="auto" w:fill="FFFFFF"/>
        </w:rPr>
        <w:t>=</w:t>
      </w:r>
      <w:r>
        <w:rPr>
          <w:rFonts w:hint="eastAsia" w:ascii="宋体" w:hAnsi="宋体"/>
          <w:spacing w:val="8"/>
          <w:shd w:val="clear" w:color="auto" w:fill="FFFFFF"/>
        </w:rPr>
        <w:t>净保费</w:t>
      </w:r>
      <w:r>
        <w:rPr>
          <w:rFonts w:hint="eastAsia" w:ascii="PingFangTC-light" w:hAnsi="PingFangTC-light"/>
          <w:spacing w:val="8"/>
          <w:shd w:val="clear" w:color="auto" w:fill="FFFFFF"/>
        </w:rPr>
        <w:t>×</w:t>
      </w:r>
      <w:r>
        <w:rPr>
          <w:rFonts w:hint="eastAsia" w:ascii="宋体" w:hAnsi="宋体"/>
          <w:spacing w:val="8"/>
          <w:shd w:val="clear" w:color="auto" w:fill="FFFFFF"/>
        </w:rPr>
        <w:t>（</w:t>
      </w:r>
      <w:r>
        <w:rPr>
          <w:rFonts w:hint="eastAsia" w:ascii="PingFangTC-light" w:hAnsi="PingFangTC-light"/>
          <w:spacing w:val="8"/>
          <w:shd w:val="clear" w:color="auto" w:fill="FFFFFF"/>
        </w:rPr>
        <w:t>1-m/n</w:t>
      </w:r>
      <w:r>
        <w:rPr>
          <w:rFonts w:hint="eastAsia" w:ascii="宋体" w:hAnsi="宋体"/>
          <w:spacing w:val="8"/>
          <w:shd w:val="clear" w:color="auto" w:fill="FFFFFF"/>
        </w:rPr>
        <w:t>），其中，</w:t>
      </w:r>
      <w:r>
        <w:rPr>
          <w:rFonts w:hint="eastAsia" w:ascii="PingFangTC-light" w:hAnsi="PingFangTC-light"/>
          <w:spacing w:val="8"/>
          <w:shd w:val="clear" w:color="auto" w:fill="FFFFFF"/>
        </w:rPr>
        <w:t>m</w:t>
      </w:r>
      <w:r>
        <w:rPr>
          <w:rFonts w:hint="eastAsia" w:ascii="宋体" w:hAnsi="宋体"/>
          <w:spacing w:val="8"/>
          <w:shd w:val="clear" w:color="auto" w:fill="FFFFFF"/>
        </w:rPr>
        <w:t>为已生效天数，</w:t>
      </w:r>
      <w:r>
        <w:rPr>
          <w:rFonts w:hint="eastAsia" w:ascii="PingFangTC-light" w:hAnsi="PingFangTC-light"/>
          <w:spacing w:val="8"/>
          <w:shd w:val="clear" w:color="auto" w:fill="FFFFFF"/>
        </w:rPr>
        <w:t>n</w:t>
      </w:r>
      <w:r>
        <w:rPr>
          <w:rFonts w:hint="eastAsia" w:ascii="宋体" w:hAnsi="宋体"/>
          <w:spacing w:val="8"/>
          <w:shd w:val="clear" w:color="auto" w:fill="FFFFFF"/>
        </w:rPr>
        <w:t>为保险期间的天数，经过日期不足一日的按一日计算</w:t>
      </w:r>
      <w:r>
        <w:rPr>
          <w:rFonts w:hint="eastAsia"/>
          <w:szCs w:val="21"/>
        </w:rPr>
        <w:t>。</w:t>
      </w:r>
    </w:p>
    <w:p>
      <w:pPr>
        <w:pStyle w:val="26"/>
        <w:rPr>
          <w:szCs w:val="21"/>
        </w:rPr>
      </w:pPr>
      <w:r>
        <w:rPr>
          <w:rFonts w:hint="eastAsia" w:ascii="宋体" w:hAnsi="宋体"/>
          <w:szCs w:val="21"/>
        </w:rPr>
        <w:t>（2）</w:t>
      </w:r>
      <w:r>
        <w:rPr>
          <w:rFonts w:hint="eastAsia"/>
          <w:szCs w:val="21"/>
        </w:rPr>
        <w:t>若选择分期交付保险费，现金价值=当期净保险费×</w:t>
      </w:r>
      <w:r>
        <w:rPr>
          <w:rFonts w:hint="eastAsia" w:ascii="宋体" w:hAnsi="宋体"/>
          <w:szCs w:val="21"/>
        </w:rPr>
        <w:t>（1-m/n），其中，m为当期已</w:t>
      </w:r>
      <w:r>
        <w:rPr>
          <w:rFonts w:ascii="宋体" w:hAnsi="宋体"/>
          <w:szCs w:val="21"/>
        </w:rPr>
        <w:t>生效天数</w:t>
      </w:r>
      <w:r>
        <w:rPr>
          <w:rFonts w:hint="eastAsia" w:ascii="宋体" w:hAnsi="宋体"/>
          <w:szCs w:val="21"/>
        </w:rPr>
        <w:t>，n为当期天数，经过天数不足一天按一天计算。</w:t>
      </w:r>
      <w:r>
        <w:rPr>
          <w:rFonts w:hint="eastAsia" w:ascii="宋体" w:hAnsi="宋体"/>
          <w:b/>
          <w:szCs w:val="21"/>
        </w:rPr>
        <w:t>未</w:t>
      </w:r>
      <w:r>
        <w:rPr>
          <w:rFonts w:ascii="宋体" w:hAnsi="宋体"/>
          <w:b/>
          <w:szCs w:val="21"/>
        </w:rPr>
        <w:t>交纳当期</w:t>
      </w:r>
      <w:r>
        <w:rPr>
          <w:rFonts w:hint="eastAsia" w:ascii="宋体" w:hAnsi="宋体"/>
          <w:b/>
          <w:szCs w:val="21"/>
        </w:rPr>
        <w:t>保险费</w:t>
      </w:r>
      <w:r>
        <w:rPr>
          <w:rFonts w:ascii="宋体" w:hAnsi="宋体"/>
          <w:b/>
          <w:szCs w:val="21"/>
        </w:rPr>
        <w:t>的，</w:t>
      </w:r>
      <w:r>
        <w:rPr>
          <w:rFonts w:hint="eastAsia" w:ascii="宋体" w:hAnsi="宋体"/>
          <w:b/>
          <w:szCs w:val="21"/>
        </w:rPr>
        <w:t>现金价值为零。</w:t>
      </w:r>
      <w:r>
        <w:rPr>
          <w:rFonts w:hint="eastAsia"/>
          <w:szCs w:val="21"/>
        </w:rPr>
        <w:t xml:space="preserve"> </w:t>
      </w:r>
    </w:p>
    <w:p>
      <w:pPr>
        <w:pStyle w:val="26"/>
        <w:rPr>
          <w:szCs w:val="21"/>
        </w:rPr>
      </w:pPr>
    </w:p>
    <w:p>
      <w:pPr>
        <w:pStyle w:val="2"/>
      </w:pPr>
      <w:r>
        <w:rPr>
          <w:rFonts w:hint="eastAsia"/>
        </w:rPr>
        <w:t>附表：</w:t>
      </w:r>
    </w:p>
    <w:p>
      <w:pPr>
        <w:jc w:val="center"/>
        <w:rPr>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w:t>
      </w:r>
      <w:r>
        <w:rPr>
          <w:rFonts w:ascii="宋体" w:hAnsi="宋体"/>
          <w:b/>
          <w:color w:val="000000" w:themeColor="text1"/>
          <w14:textFill>
            <w14:solidFill>
              <w14:schemeClr w14:val="tx1"/>
            </w14:solidFill>
          </w14:textFill>
        </w:rPr>
        <w:t>预防接种</w:t>
      </w:r>
      <w:r>
        <w:rPr>
          <w:rFonts w:hint="eastAsia" w:ascii="宋体" w:hAnsi="宋体"/>
          <w:b/>
          <w:color w:val="000000" w:themeColor="text1"/>
          <w14:textFill>
            <w14:solidFill>
              <w14:schemeClr w14:val="tx1"/>
            </w14:solidFill>
          </w14:textFill>
        </w:rPr>
        <w:t>意外伤残等级程度与保险金给付比例表</w:t>
      </w:r>
      <w:r>
        <w:rPr>
          <w:rFonts w:ascii="宋体" w:hAnsi="宋体"/>
          <w:b/>
          <w:color w:val="000000" w:themeColor="text1"/>
          <w14:textFill>
            <w14:solidFill>
              <w14:schemeClr w14:val="tx1"/>
            </w14:solidFill>
          </w14:textFill>
        </w:rPr>
        <w:t>》</w:t>
      </w:r>
    </w:p>
    <w:tbl>
      <w:tblPr>
        <w:tblStyle w:val="14"/>
        <w:tblW w:w="5953" w:type="dxa"/>
        <w:tblInd w:w="11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984"/>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12" w:space="0"/>
              <w:bottom w:val="single" w:color="auto" w:sz="12" w:space="0"/>
            </w:tcBorders>
            <w:shd w:val="clear"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编号</w:t>
            </w:r>
          </w:p>
        </w:tc>
        <w:tc>
          <w:tcPr>
            <w:tcW w:w="1984" w:type="dxa"/>
            <w:tcBorders>
              <w:top w:val="single" w:color="auto" w:sz="12" w:space="0"/>
              <w:bottom w:val="single" w:color="auto" w:sz="12" w:space="0"/>
            </w:tcBorders>
            <w:shd w:val="clear"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医疗事故分级</w:t>
            </w:r>
          </w:p>
        </w:tc>
        <w:tc>
          <w:tcPr>
            <w:tcW w:w="1985" w:type="dxa"/>
            <w:tcBorders>
              <w:top w:val="single" w:color="auto" w:sz="12" w:space="0"/>
              <w:bottom w:val="single" w:color="auto" w:sz="12" w:space="0"/>
            </w:tcBorders>
            <w:shd w:val="clear"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伤残给付</w:t>
            </w:r>
            <w:r>
              <w:rPr>
                <w:rFonts w:ascii="宋体" w:hAnsi="宋体"/>
                <w:b/>
                <w:color w:val="000000" w:themeColor="text1"/>
                <w:szCs w:val="21"/>
                <w14:textFill>
                  <w14:solidFill>
                    <w14:schemeClr w14:val="tx1"/>
                  </w14:solidFill>
                </w14:textFill>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84" w:type="dxa"/>
            <w:tcBorders>
              <w:top w:val="single" w:color="auto" w:sz="12" w:space="0"/>
            </w:tcBorders>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p>
        </w:tc>
        <w:tc>
          <w:tcPr>
            <w:tcW w:w="1984" w:type="dxa"/>
            <w:tcBorders>
              <w:top w:val="single" w:color="auto" w:sz="12" w:space="0"/>
            </w:tcBorders>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一级乙等</w:t>
            </w:r>
          </w:p>
        </w:tc>
        <w:tc>
          <w:tcPr>
            <w:tcW w:w="1985" w:type="dxa"/>
            <w:tcBorders>
              <w:top w:val="single" w:color="auto" w:sz="12" w:space="0"/>
            </w:tcBorders>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二级甲等</w:t>
            </w:r>
          </w:p>
        </w:tc>
        <w:tc>
          <w:tcPr>
            <w:tcW w:w="1985"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二级乙等</w:t>
            </w:r>
          </w:p>
        </w:tc>
        <w:tc>
          <w:tcPr>
            <w:tcW w:w="1985"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二级丙等</w:t>
            </w:r>
          </w:p>
        </w:tc>
        <w:tc>
          <w:tcPr>
            <w:tcW w:w="1985"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二级丁等</w:t>
            </w:r>
          </w:p>
        </w:tc>
        <w:tc>
          <w:tcPr>
            <w:tcW w:w="1985"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三级甲等</w:t>
            </w:r>
          </w:p>
        </w:tc>
        <w:tc>
          <w:tcPr>
            <w:tcW w:w="1985"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p>
        </w:tc>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三级乙等</w:t>
            </w:r>
          </w:p>
        </w:tc>
        <w:tc>
          <w:tcPr>
            <w:tcW w:w="1985"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三级丙等</w:t>
            </w:r>
          </w:p>
        </w:tc>
        <w:tc>
          <w:tcPr>
            <w:tcW w:w="1985"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p>
        </w:tc>
        <w:tc>
          <w:tcPr>
            <w:tcW w:w="1984"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三级丁等</w:t>
            </w:r>
          </w:p>
        </w:tc>
        <w:tc>
          <w:tcPr>
            <w:tcW w:w="1985" w:type="dxa"/>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4" w:type="dxa"/>
            <w:tcBorders>
              <w:bottom w:val="single" w:color="auto" w:sz="12" w:space="0"/>
            </w:tcBorders>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1984" w:type="dxa"/>
            <w:tcBorders>
              <w:bottom w:val="single" w:color="auto" w:sz="12" w:space="0"/>
            </w:tcBorders>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三级戊等</w:t>
            </w:r>
          </w:p>
        </w:tc>
        <w:tc>
          <w:tcPr>
            <w:tcW w:w="1985" w:type="dxa"/>
            <w:tcBorders>
              <w:bottom w:val="single" w:color="auto" w:sz="12" w:space="0"/>
            </w:tcBorders>
            <w:shd w:val="clear" w:color="auto" w:fill="auto"/>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r>
    </w:tbl>
    <w:p>
      <w:pPr>
        <w:spacing w:line="0" w:lineRule="atLeast"/>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注</w:t>
      </w:r>
      <w:r>
        <w:rPr>
          <w:rFonts w:asciiTheme="minorEastAsia" w:hAnsiTheme="minorEastAsia" w:eastAsiaTheme="minorEastAsia"/>
          <w:b/>
          <w:color w:val="000000" w:themeColor="text1"/>
          <w:sz w:val="18"/>
          <w:szCs w:val="18"/>
          <w14:textFill>
            <w14:solidFill>
              <w14:schemeClr w14:val="tx1"/>
            </w14:solidFill>
          </w14:textFill>
        </w:rPr>
        <w:t>：</w:t>
      </w:r>
      <w:r>
        <w:rPr>
          <w:rFonts w:hint="eastAsia" w:asciiTheme="minorEastAsia" w:hAnsiTheme="minorEastAsia" w:eastAsiaTheme="minorEastAsia"/>
          <w:b/>
          <w:color w:val="000000" w:themeColor="text1"/>
          <w:sz w:val="18"/>
          <w:szCs w:val="18"/>
          <w14:textFill>
            <w14:solidFill>
              <w14:schemeClr w14:val="tx1"/>
            </w14:solidFill>
          </w14:textFill>
        </w:rPr>
        <w:t>本表</w:t>
      </w:r>
      <w:r>
        <w:rPr>
          <w:rFonts w:asciiTheme="minorEastAsia" w:hAnsiTheme="minorEastAsia" w:eastAsiaTheme="minorEastAsia"/>
          <w:b/>
          <w:color w:val="000000" w:themeColor="text1"/>
          <w:sz w:val="18"/>
          <w:szCs w:val="18"/>
          <w14:textFill>
            <w14:solidFill>
              <w14:schemeClr w14:val="tx1"/>
            </w14:solidFill>
          </w14:textFill>
        </w:rPr>
        <w:t>所称</w:t>
      </w:r>
      <w:r>
        <w:rPr>
          <w:rFonts w:hint="eastAsia" w:asciiTheme="minorEastAsia" w:hAnsiTheme="minorEastAsia" w:eastAsiaTheme="minorEastAsia"/>
          <w:b/>
          <w:color w:val="000000" w:themeColor="text1"/>
          <w:sz w:val="18"/>
          <w:szCs w:val="18"/>
          <w14:textFill>
            <w14:solidFill>
              <w14:schemeClr w14:val="tx1"/>
            </w14:solidFill>
          </w14:textFill>
        </w:rPr>
        <w:t>的</w:t>
      </w:r>
      <w:r>
        <w:rPr>
          <w:rFonts w:asciiTheme="minorEastAsia" w:hAnsiTheme="minorEastAsia" w:eastAsiaTheme="minorEastAsia"/>
          <w:b/>
          <w:color w:val="000000" w:themeColor="text1"/>
          <w:sz w:val="18"/>
          <w:szCs w:val="18"/>
          <w14:textFill>
            <w14:solidFill>
              <w14:schemeClr w14:val="tx1"/>
            </w14:solidFill>
          </w14:textFill>
        </w:rPr>
        <w:t>医疗事故分级</w:t>
      </w:r>
      <w:r>
        <w:rPr>
          <w:rFonts w:hint="eastAsia" w:asciiTheme="minorEastAsia" w:hAnsiTheme="minorEastAsia" w:eastAsiaTheme="minorEastAsia"/>
          <w:b/>
          <w:color w:val="000000" w:themeColor="text1"/>
          <w:sz w:val="18"/>
          <w:szCs w:val="18"/>
          <w14:textFill>
            <w14:solidFill>
              <w14:schemeClr w14:val="tx1"/>
            </w14:solidFill>
          </w14:textFill>
        </w:rPr>
        <w:t>以《医疗事故分级标准（试行）》为准。</w:t>
      </w:r>
    </w:p>
    <w:p>
      <w:pPr>
        <w:pStyle w:val="26"/>
        <w:ind w:left="368" w:leftChars="175" w:firstLine="0" w:firstLineChars="0"/>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《医疗事故分级标准（试行）》（中华人民共和国卫生部令第32号）由原中华人民共和国卫生部颁布；如该政策文件如有更新、替代、补充的，应以更新、替代、补充后最新的文件为准。</w:t>
      </w:r>
    </w:p>
    <w:p>
      <w:pPr>
        <w:pStyle w:val="26"/>
        <w:ind w:left="368" w:leftChars="175" w:firstLine="0" w:firstLineChars="0"/>
        <w:rPr>
          <w:rFonts w:asciiTheme="minorEastAsia" w:hAnsiTheme="minorEastAsia" w:eastAsiaTheme="minorEastAsia"/>
          <w:b/>
          <w:color w:val="000000" w:themeColor="text1"/>
          <w:sz w:val="18"/>
          <w:szCs w:val="1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PingFangTC-ligh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16"/>
        <w:szCs w:val="16"/>
      </w:rPr>
    </w:pPr>
    <w:r>
      <w:rPr>
        <w:rFonts w:ascii="Times New Roman" w:hAnsi="Times New Roman"/>
        <w:sz w:val="16"/>
        <w:szCs w:val="16"/>
        <w:lang w:val="zh-CN"/>
      </w:rPr>
      <w:t xml:space="preserve"> </w:t>
    </w:r>
    <w:r>
      <w:rPr>
        <w:rFonts w:ascii="Times New Roman" w:hAnsi="Times New Roman"/>
        <w:bCs/>
        <w:sz w:val="16"/>
        <w:szCs w:val="16"/>
      </w:rPr>
      <w:fldChar w:fldCharType="begin"/>
    </w:r>
    <w:r>
      <w:rPr>
        <w:rFonts w:ascii="Times New Roman" w:hAnsi="Times New Roman"/>
        <w:bCs/>
        <w:sz w:val="16"/>
        <w:szCs w:val="16"/>
      </w:rPr>
      <w:instrText xml:space="preserve">PAGE</w:instrText>
    </w:r>
    <w:r>
      <w:rPr>
        <w:rFonts w:ascii="Times New Roman" w:hAnsi="Times New Roman"/>
        <w:bCs/>
        <w:sz w:val="16"/>
        <w:szCs w:val="16"/>
      </w:rPr>
      <w:fldChar w:fldCharType="separate"/>
    </w:r>
    <w:r>
      <w:rPr>
        <w:rFonts w:ascii="Times New Roman" w:hAnsi="Times New Roman"/>
        <w:bCs/>
        <w:sz w:val="16"/>
        <w:szCs w:val="16"/>
      </w:rPr>
      <w:t>6</w:t>
    </w:r>
    <w:r>
      <w:rPr>
        <w:rFonts w:ascii="Times New Roman" w:hAnsi="Times New Roman"/>
        <w:bCs/>
        <w:sz w:val="16"/>
        <w:szCs w:val="16"/>
      </w:rPr>
      <w:fldChar w:fldCharType="end"/>
    </w:r>
    <w:r>
      <w:rPr>
        <w:rFonts w:ascii="Times New Roman" w:hAnsi="Times New Roman"/>
        <w:sz w:val="16"/>
        <w:szCs w:val="16"/>
        <w:lang w:val="zh-CN"/>
      </w:rPr>
      <w:t xml:space="preserve"> / </w:t>
    </w:r>
    <w:r>
      <w:rPr>
        <w:rFonts w:ascii="Times New Roman" w:hAnsi="Times New Roman"/>
        <w:bCs/>
        <w:sz w:val="16"/>
        <w:szCs w:val="16"/>
      </w:rPr>
      <w:fldChar w:fldCharType="begin"/>
    </w:r>
    <w:r>
      <w:rPr>
        <w:rFonts w:ascii="Times New Roman" w:hAnsi="Times New Roman"/>
        <w:bCs/>
        <w:sz w:val="16"/>
        <w:szCs w:val="16"/>
      </w:rPr>
      <w:instrText xml:space="preserve">NUMPAGES</w:instrText>
    </w:r>
    <w:r>
      <w:rPr>
        <w:rFonts w:ascii="Times New Roman" w:hAnsi="Times New Roman"/>
        <w:bCs/>
        <w:sz w:val="16"/>
        <w:szCs w:val="16"/>
      </w:rPr>
      <w:fldChar w:fldCharType="separate"/>
    </w:r>
    <w:r>
      <w:rPr>
        <w:rFonts w:ascii="Times New Roman" w:hAnsi="Times New Roman"/>
        <w:bCs/>
        <w:sz w:val="16"/>
        <w:szCs w:val="16"/>
      </w:rPr>
      <w:t>6</w:t>
    </w:r>
    <w:r>
      <w:rPr>
        <w:rFonts w:ascii="Times New Roman" w:hAnsi="Times New Roman"/>
        <w:bCs/>
        <w:sz w:val="16"/>
        <w:szCs w:val="1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10220"/>
    <w:multiLevelType w:val="multilevel"/>
    <w:tmpl w:val="44610220"/>
    <w:lvl w:ilvl="0" w:tentative="0">
      <w:start w:val="1"/>
      <w:numFmt w:val="decimal"/>
      <w:lvlText w:val="（%1）"/>
      <w:lvlJc w:val="left"/>
      <w:pPr>
        <w:ind w:left="1365" w:hanging="420"/>
      </w:pPr>
      <w:rPr>
        <w:rFonts w:hint="default"/>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1">
    <w:nsid w:val="73CE6844"/>
    <w:multiLevelType w:val="multilevel"/>
    <w:tmpl w:val="73CE6844"/>
    <w:lvl w:ilvl="0" w:tentative="0">
      <w:start w:val="1"/>
      <w:numFmt w:val="decimal"/>
      <w:lvlText w:val="（%1）"/>
      <w:lvlJc w:val="left"/>
      <w:pPr>
        <w:ind w:left="1680" w:hanging="42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19"/>
    <w:rsid w:val="00001C1D"/>
    <w:rsid w:val="00002A69"/>
    <w:rsid w:val="00004115"/>
    <w:rsid w:val="000048B8"/>
    <w:rsid w:val="0003325D"/>
    <w:rsid w:val="00035ECD"/>
    <w:rsid w:val="000417D8"/>
    <w:rsid w:val="00041C81"/>
    <w:rsid w:val="000510F9"/>
    <w:rsid w:val="00062755"/>
    <w:rsid w:val="0006471C"/>
    <w:rsid w:val="00067E14"/>
    <w:rsid w:val="0007138B"/>
    <w:rsid w:val="0007608E"/>
    <w:rsid w:val="000824BA"/>
    <w:rsid w:val="00083C41"/>
    <w:rsid w:val="00087F3A"/>
    <w:rsid w:val="00093DAE"/>
    <w:rsid w:val="000A0CFF"/>
    <w:rsid w:val="000A2051"/>
    <w:rsid w:val="000B1E06"/>
    <w:rsid w:val="000B33F7"/>
    <w:rsid w:val="000B527A"/>
    <w:rsid w:val="000B6391"/>
    <w:rsid w:val="000B67A1"/>
    <w:rsid w:val="000C30A1"/>
    <w:rsid w:val="000C4500"/>
    <w:rsid w:val="000C7EC9"/>
    <w:rsid w:val="000D458E"/>
    <w:rsid w:val="000E6FF5"/>
    <w:rsid w:val="000E79EB"/>
    <w:rsid w:val="001001DE"/>
    <w:rsid w:val="001018FB"/>
    <w:rsid w:val="0010702A"/>
    <w:rsid w:val="001131FC"/>
    <w:rsid w:val="00116EDF"/>
    <w:rsid w:val="0012684D"/>
    <w:rsid w:val="00130D75"/>
    <w:rsid w:val="00137DDE"/>
    <w:rsid w:val="00142E63"/>
    <w:rsid w:val="00145FDD"/>
    <w:rsid w:val="00151B57"/>
    <w:rsid w:val="00155C2C"/>
    <w:rsid w:val="001579E2"/>
    <w:rsid w:val="00157A37"/>
    <w:rsid w:val="00165C0C"/>
    <w:rsid w:val="00170C42"/>
    <w:rsid w:val="0017245D"/>
    <w:rsid w:val="0018286B"/>
    <w:rsid w:val="001853A5"/>
    <w:rsid w:val="00191503"/>
    <w:rsid w:val="001979FC"/>
    <w:rsid w:val="00197AE8"/>
    <w:rsid w:val="001A71D7"/>
    <w:rsid w:val="001B1F58"/>
    <w:rsid w:val="001C4BAA"/>
    <w:rsid w:val="001D1C75"/>
    <w:rsid w:val="001D2553"/>
    <w:rsid w:val="001D54E3"/>
    <w:rsid w:val="001D5A60"/>
    <w:rsid w:val="001D661C"/>
    <w:rsid w:val="001F1078"/>
    <w:rsid w:val="001F1AF0"/>
    <w:rsid w:val="001F3AD6"/>
    <w:rsid w:val="001F76D4"/>
    <w:rsid w:val="00223EB9"/>
    <w:rsid w:val="00224980"/>
    <w:rsid w:val="00225471"/>
    <w:rsid w:val="002322EC"/>
    <w:rsid w:val="002324F9"/>
    <w:rsid w:val="00232516"/>
    <w:rsid w:val="00234C1F"/>
    <w:rsid w:val="00237A01"/>
    <w:rsid w:val="0024709D"/>
    <w:rsid w:val="00250079"/>
    <w:rsid w:val="0027491F"/>
    <w:rsid w:val="002771D2"/>
    <w:rsid w:val="00280357"/>
    <w:rsid w:val="002807FC"/>
    <w:rsid w:val="00284C63"/>
    <w:rsid w:val="0028529E"/>
    <w:rsid w:val="0028682E"/>
    <w:rsid w:val="00290253"/>
    <w:rsid w:val="002915BB"/>
    <w:rsid w:val="00293E6D"/>
    <w:rsid w:val="00296F67"/>
    <w:rsid w:val="002A14E9"/>
    <w:rsid w:val="002A556F"/>
    <w:rsid w:val="002A75C3"/>
    <w:rsid w:val="002A7680"/>
    <w:rsid w:val="002B1B4A"/>
    <w:rsid w:val="002B4B59"/>
    <w:rsid w:val="002B5C1C"/>
    <w:rsid w:val="002B6DDC"/>
    <w:rsid w:val="002B776A"/>
    <w:rsid w:val="002C10D9"/>
    <w:rsid w:val="002C1C06"/>
    <w:rsid w:val="002C7B19"/>
    <w:rsid w:val="002D0E19"/>
    <w:rsid w:val="002D4AE6"/>
    <w:rsid w:val="002E2226"/>
    <w:rsid w:val="002E44A1"/>
    <w:rsid w:val="002F3F3A"/>
    <w:rsid w:val="002F4E6D"/>
    <w:rsid w:val="00305C42"/>
    <w:rsid w:val="0031147A"/>
    <w:rsid w:val="00316769"/>
    <w:rsid w:val="00325CF1"/>
    <w:rsid w:val="00327CF8"/>
    <w:rsid w:val="00330DDB"/>
    <w:rsid w:val="00341B2F"/>
    <w:rsid w:val="0035283E"/>
    <w:rsid w:val="00357C3C"/>
    <w:rsid w:val="00362169"/>
    <w:rsid w:val="00380FB4"/>
    <w:rsid w:val="0038401E"/>
    <w:rsid w:val="00385D2B"/>
    <w:rsid w:val="0038711B"/>
    <w:rsid w:val="003905B4"/>
    <w:rsid w:val="003A0BAE"/>
    <w:rsid w:val="003A16A8"/>
    <w:rsid w:val="003A2A34"/>
    <w:rsid w:val="003A42C2"/>
    <w:rsid w:val="003A7933"/>
    <w:rsid w:val="003B56A3"/>
    <w:rsid w:val="003C38C9"/>
    <w:rsid w:val="003C4833"/>
    <w:rsid w:val="003C5879"/>
    <w:rsid w:val="003D1F1C"/>
    <w:rsid w:val="003E1DC4"/>
    <w:rsid w:val="003E496F"/>
    <w:rsid w:val="003F6C87"/>
    <w:rsid w:val="003F7E24"/>
    <w:rsid w:val="004040EA"/>
    <w:rsid w:val="0040598F"/>
    <w:rsid w:val="0041204D"/>
    <w:rsid w:val="0041517C"/>
    <w:rsid w:val="004352EA"/>
    <w:rsid w:val="00443FC7"/>
    <w:rsid w:val="004452B3"/>
    <w:rsid w:val="00446136"/>
    <w:rsid w:val="00446583"/>
    <w:rsid w:val="00453A60"/>
    <w:rsid w:val="00470AB5"/>
    <w:rsid w:val="00474A40"/>
    <w:rsid w:val="00475DDE"/>
    <w:rsid w:val="00482223"/>
    <w:rsid w:val="00494FFC"/>
    <w:rsid w:val="004A2A6D"/>
    <w:rsid w:val="004C128A"/>
    <w:rsid w:val="004C194E"/>
    <w:rsid w:val="004C4F2B"/>
    <w:rsid w:val="004C5968"/>
    <w:rsid w:val="004C7437"/>
    <w:rsid w:val="004E0B0B"/>
    <w:rsid w:val="00502D30"/>
    <w:rsid w:val="0050702F"/>
    <w:rsid w:val="0052794A"/>
    <w:rsid w:val="00541DE1"/>
    <w:rsid w:val="00551775"/>
    <w:rsid w:val="005538F5"/>
    <w:rsid w:val="00554F41"/>
    <w:rsid w:val="00561527"/>
    <w:rsid w:val="00567005"/>
    <w:rsid w:val="00570743"/>
    <w:rsid w:val="0057348B"/>
    <w:rsid w:val="00575F24"/>
    <w:rsid w:val="005843EC"/>
    <w:rsid w:val="00591092"/>
    <w:rsid w:val="00597CAF"/>
    <w:rsid w:val="005B0C34"/>
    <w:rsid w:val="005C215C"/>
    <w:rsid w:val="005C2DAE"/>
    <w:rsid w:val="005C3125"/>
    <w:rsid w:val="005E066E"/>
    <w:rsid w:val="005E0D2A"/>
    <w:rsid w:val="005E2632"/>
    <w:rsid w:val="005F4057"/>
    <w:rsid w:val="005F666E"/>
    <w:rsid w:val="00606F10"/>
    <w:rsid w:val="00610170"/>
    <w:rsid w:val="006300DA"/>
    <w:rsid w:val="00630F38"/>
    <w:rsid w:val="006438A3"/>
    <w:rsid w:val="006457F3"/>
    <w:rsid w:val="00665271"/>
    <w:rsid w:val="006677D1"/>
    <w:rsid w:val="00671F53"/>
    <w:rsid w:val="00684952"/>
    <w:rsid w:val="006A0AF3"/>
    <w:rsid w:val="006A15ED"/>
    <w:rsid w:val="006A1C59"/>
    <w:rsid w:val="006A4703"/>
    <w:rsid w:val="006B0182"/>
    <w:rsid w:val="006B1B22"/>
    <w:rsid w:val="006B6A0C"/>
    <w:rsid w:val="006C261B"/>
    <w:rsid w:val="006C47E9"/>
    <w:rsid w:val="006C7DD2"/>
    <w:rsid w:val="006D6172"/>
    <w:rsid w:val="006D7C1F"/>
    <w:rsid w:val="006E40B8"/>
    <w:rsid w:val="006F16D5"/>
    <w:rsid w:val="006F22E0"/>
    <w:rsid w:val="006F2F1E"/>
    <w:rsid w:val="00703B45"/>
    <w:rsid w:val="00705FB3"/>
    <w:rsid w:val="00720E7E"/>
    <w:rsid w:val="007228D5"/>
    <w:rsid w:val="00741773"/>
    <w:rsid w:val="00745BD2"/>
    <w:rsid w:val="00755799"/>
    <w:rsid w:val="00756052"/>
    <w:rsid w:val="00772283"/>
    <w:rsid w:val="007754AF"/>
    <w:rsid w:val="0077613D"/>
    <w:rsid w:val="0078569A"/>
    <w:rsid w:val="00790AE8"/>
    <w:rsid w:val="0079194F"/>
    <w:rsid w:val="00791BB1"/>
    <w:rsid w:val="00792DDD"/>
    <w:rsid w:val="00795284"/>
    <w:rsid w:val="007A2D30"/>
    <w:rsid w:val="007A49F5"/>
    <w:rsid w:val="007A4AA5"/>
    <w:rsid w:val="007B5068"/>
    <w:rsid w:val="007B5C7D"/>
    <w:rsid w:val="007C4547"/>
    <w:rsid w:val="007C7183"/>
    <w:rsid w:val="007C7E7A"/>
    <w:rsid w:val="007D131C"/>
    <w:rsid w:val="007D1E36"/>
    <w:rsid w:val="007D2997"/>
    <w:rsid w:val="007D3EBA"/>
    <w:rsid w:val="007D50AC"/>
    <w:rsid w:val="007D58C6"/>
    <w:rsid w:val="007E530A"/>
    <w:rsid w:val="007E6753"/>
    <w:rsid w:val="007F2E13"/>
    <w:rsid w:val="007F4693"/>
    <w:rsid w:val="007F556E"/>
    <w:rsid w:val="007F5DBF"/>
    <w:rsid w:val="007F65DB"/>
    <w:rsid w:val="007F68B9"/>
    <w:rsid w:val="007F68F2"/>
    <w:rsid w:val="0082330B"/>
    <w:rsid w:val="008355F1"/>
    <w:rsid w:val="00836180"/>
    <w:rsid w:val="00846242"/>
    <w:rsid w:val="0084763F"/>
    <w:rsid w:val="00853BA9"/>
    <w:rsid w:val="00862139"/>
    <w:rsid w:val="008702F2"/>
    <w:rsid w:val="00874B65"/>
    <w:rsid w:val="008832B8"/>
    <w:rsid w:val="00891201"/>
    <w:rsid w:val="0089595E"/>
    <w:rsid w:val="008A0A9A"/>
    <w:rsid w:val="008A12EB"/>
    <w:rsid w:val="008A7383"/>
    <w:rsid w:val="008B1064"/>
    <w:rsid w:val="008B4A97"/>
    <w:rsid w:val="008B6C20"/>
    <w:rsid w:val="008C1CB9"/>
    <w:rsid w:val="008C498E"/>
    <w:rsid w:val="008C53B2"/>
    <w:rsid w:val="008D0B04"/>
    <w:rsid w:val="008D45FE"/>
    <w:rsid w:val="008E0289"/>
    <w:rsid w:val="008E1C6D"/>
    <w:rsid w:val="008E2393"/>
    <w:rsid w:val="008E3D3A"/>
    <w:rsid w:val="008F31FD"/>
    <w:rsid w:val="008F5D65"/>
    <w:rsid w:val="008F7425"/>
    <w:rsid w:val="009031C0"/>
    <w:rsid w:val="00907AB0"/>
    <w:rsid w:val="009134C6"/>
    <w:rsid w:val="00916603"/>
    <w:rsid w:val="00917DF1"/>
    <w:rsid w:val="0092012E"/>
    <w:rsid w:val="0092226B"/>
    <w:rsid w:val="00923959"/>
    <w:rsid w:val="00930E68"/>
    <w:rsid w:val="009469E1"/>
    <w:rsid w:val="00952767"/>
    <w:rsid w:val="009535B0"/>
    <w:rsid w:val="009535C4"/>
    <w:rsid w:val="009607FB"/>
    <w:rsid w:val="00975939"/>
    <w:rsid w:val="00975F27"/>
    <w:rsid w:val="009767CB"/>
    <w:rsid w:val="0098162D"/>
    <w:rsid w:val="00987722"/>
    <w:rsid w:val="00996C83"/>
    <w:rsid w:val="009A4987"/>
    <w:rsid w:val="009A5FA3"/>
    <w:rsid w:val="009B5544"/>
    <w:rsid w:val="009C50B4"/>
    <w:rsid w:val="009D09B8"/>
    <w:rsid w:val="009D7FD7"/>
    <w:rsid w:val="009E470A"/>
    <w:rsid w:val="009E7C6D"/>
    <w:rsid w:val="009F0229"/>
    <w:rsid w:val="009F5B69"/>
    <w:rsid w:val="00A102BA"/>
    <w:rsid w:val="00A1105C"/>
    <w:rsid w:val="00A226C1"/>
    <w:rsid w:val="00A265D7"/>
    <w:rsid w:val="00A26BCB"/>
    <w:rsid w:val="00A40D96"/>
    <w:rsid w:val="00A4433F"/>
    <w:rsid w:val="00A7636F"/>
    <w:rsid w:val="00A80EA8"/>
    <w:rsid w:val="00A84317"/>
    <w:rsid w:val="00A86213"/>
    <w:rsid w:val="00A8632C"/>
    <w:rsid w:val="00A95E2E"/>
    <w:rsid w:val="00AA2240"/>
    <w:rsid w:val="00AB15DA"/>
    <w:rsid w:val="00AB3A97"/>
    <w:rsid w:val="00AD515F"/>
    <w:rsid w:val="00AE1E29"/>
    <w:rsid w:val="00AF534F"/>
    <w:rsid w:val="00AF76CD"/>
    <w:rsid w:val="00B12966"/>
    <w:rsid w:val="00B16F42"/>
    <w:rsid w:val="00B241DA"/>
    <w:rsid w:val="00B26F32"/>
    <w:rsid w:val="00B27584"/>
    <w:rsid w:val="00B422C1"/>
    <w:rsid w:val="00B54045"/>
    <w:rsid w:val="00B60FA9"/>
    <w:rsid w:val="00B62D63"/>
    <w:rsid w:val="00B670A2"/>
    <w:rsid w:val="00B77BAF"/>
    <w:rsid w:val="00B8213C"/>
    <w:rsid w:val="00B9303A"/>
    <w:rsid w:val="00B952B4"/>
    <w:rsid w:val="00B96EC3"/>
    <w:rsid w:val="00BA5837"/>
    <w:rsid w:val="00BC1420"/>
    <w:rsid w:val="00BC2923"/>
    <w:rsid w:val="00BC43FE"/>
    <w:rsid w:val="00BD075C"/>
    <w:rsid w:val="00BD3005"/>
    <w:rsid w:val="00BE4112"/>
    <w:rsid w:val="00BF12C4"/>
    <w:rsid w:val="00C001D3"/>
    <w:rsid w:val="00C13190"/>
    <w:rsid w:val="00C252B4"/>
    <w:rsid w:val="00C306B5"/>
    <w:rsid w:val="00C43778"/>
    <w:rsid w:val="00C50751"/>
    <w:rsid w:val="00C54DF9"/>
    <w:rsid w:val="00C76122"/>
    <w:rsid w:val="00C803AE"/>
    <w:rsid w:val="00CA2289"/>
    <w:rsid w:val="00CA4779"/>
    <w:rsid w:val="00CB1D2B"/>
    <w:rsid w:val="00CC468A"/>
    <w:rsid w:val="00CC79F8"/>
    <w:rsid w:val="00CD07BF"/>
    <w:rsid w:val="00CD1205"/>
    <w:rsid w:val="00CD2F9E"/>
    <w:rsid w:val="00CF0840"/>
    <w:rsid w:val="00D02539"/>
    <w:rsid w:val="00D03D92"/>
    <w:rsid w:val="00D07704"/>
    <w:rsid w:val="00D10373"/>
    <w:rsid w:val="00D16397"/>
    <w:rsid w:val="00D26B7D"/>
    <w:rsid w:val="00D34BD2"/>
    <w:rsid w:val="00D42317"/>
    <w:rsid w:val="00D42B45"/>
    <w:rsid w:val="00D45EA0"/>
    <w:rsid w:val="00D52E41"/>
    <w:rsid w:val="00D65419"/>
    <w:rsid w:val="00D856B1"/>
    <w:rsid w:val="00D92B60"/>
    <w:rsid w:val="00DB0493"/>
    <w:rsid w:val="00DB4586"/>
    <w:rsid w:val="00DC13FB"/>
    <w:rsid w:val="00DD7450"/>
    <w:rsid w:val="00DE0173"/>
    <w:rsid w:val="00DE041C"/>
    <w:rsid w:val="00DE2AE4"/>
    <w:rsid w:val="00DF1A6C"/>
    <w:rsid w:val="00E0018B"/>
    <w:rsid w:val="00E05703"/>
    <w:rsid w:val="00E066F5"/>
    <w:rsid w:val="00E11FB9"/>
    <w:rsid w:val="00E12B04"/>
    <w:rsid w:val="00E24CBF"/>
    <w:rsid w:val="00E366DB"/>
    <w:rsid w:val="00E64871"/>
    <w:rsid w:val="00E67D69"/>
    <w:rsid w:val="00E67E57"/>
    <w:rsid w:val="00E715CF"/>
    <w:rsid w:val="00E71C6D"/>
    <w:rsid w:val="00E748F8"/>
    <w:rsid w:val="00E7756A"/>
    <w:rsid w:val="00E93069"/>
    <w:rsid w:val="00E95091"/>
    <w:rsid w:val="00EA20AF"/>
    <w:rsid w:val="00EA3BB9"/>
    <w:rsid w:val="00EA6DA8"/>
    <w:rsid w:val="00EB0C85"/>
    <w:rsid w:val="00EB6A31"/>
    <w:rsid w:val="00EB7481"/>
    <w:rsid w:val="00EC481B"/>
    <w:rsid w:val="00ED0102"/>
    <w:rsid w:val="00ED01B4"/>
    <w:rsid w:val="00ED5A41"/>
    <w:rsid w:val="00ED7190"/>
    <w:rsid w:val="00F0508C"/>
    <w:rsid w:val="00F14B0C"/>
    <w:rsid w:val="00F157DD"/>
    <w:rsid w:val="00F232CD"/>
    <w:rsid w:val="00F41D00"/>
    <w:rsid w:val="00F429BA"/>
    <w:rsid w:val="00F431D4"/>
    <w:rsid w:val="00F503D6"/>
    <w:rsid w:val="00F52248"/>
    <w:rsid w:val="00F54A97"/>
    <w:rsid w:val="00F723FB"/>
    <w:rsid w:val="00F73461"/>
    <w:rsid w:val="00F73507"/>
    <w:rsid w:val="00F907BC"/>
    <w:rsid w:val="00F90ED7"/>
    <w:rsid w:val="00F9617B"/>
    <w:rsid w:val="00FA0443"/>
    <w:rsid w:val="00FB2972"/>
    <w:rsid w:val="00FC1E24"/>
    <w:rsid w:val="00FC362D"/>
    <w:rsid w:val="00FC63FA"/>
    <w:rsid w:val="00FC7649"/>
    <w:rsid w:val="00FD19FC"/>
    <w:rsid w:val="00FD3868"/>
    <w:rsid w:val="00FE1BA0"/>
    <w:rsid w:val="22D24733"/>
    <w:rsid w:val="24FA3DF8"/>
    <w:rsid w:val="6FBC52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
    <w:pPr>
      <w:keepNext/>
      <w:keepLines/>
      <w:tabs>
        <w:tab w:val="left" w:pos="840"/>
      </w:tabs>
      <w:spacing w:line="0" w:lineRule="atLeast"/>
      <w:outlineLvl w:val="0"/>
    </w:pPr>
    <w:rPr>
      <w:rFonts w:ascii="宋体" w:hAnsi="宋体" w:cs="宋体"/>
      <w:b/>
      <w:bCs/>
      <w:kern w:val="44"/>
      <w:szCs w:val="21"/>
    </w:rPr>
  </w:style>
  <w:style w:type="paragraph" w:styleId="3">
    <w:name w:val="heading 2"/>
    <w:basedOn w:val="1"/>
    <w:next w:val="1"/>
    <w:link w:val="28"/>
    <w:unhideWhenUsed/>
    <w:qFormat/>
    <w:uiPriority w:val="9"/>
    <w:pPr>
      <w:keepNext/>
      <w:keepLines/>
      <w:tabs>
        <w:tab w:val="left" w:pos="840"/>
      </w:tabs>
      <w:spacing w:line="0" w:lineRule="atLeast"/>
      <w:outlineLvl w:val="1"/>
    </w:pPr>
    <w:rPr>
      <w:rFonts w:ascii="宋体" w:hAnsi="宋体" w:cs="宋体"/>
      <w:b/>
      <w:bCs/>
      <w:szCs w:val="21"/>
    </w:rPr>
  </w:style>
  <w:style w:type="paragraph" w:styleId="4">
    <w:name w:val="heading 3"/>
    <w:basedOn w:val="1"/>
    <w:next w:val="1"/>
    <w:link w:val="29"/>
    <w:unhideWhenUsed/>
    <w:qFormat/>
    <w:uiPriority w:val="9"/>
    <w:pPr>
      <w:keepNext/>
      <w:keepLines/>
      <w:tabs>
        <w:tab w:val="left" w:pos="840"/>
      </w:tabs>
      <w:spacing w:line="0" w:lineRule="atLeast"/>
      <w:outlineLvl w:val="2"/>
    </w:pPr>
    <w:rPr>
      <w:rFonts w:ascii="宋体" w:hAnsi="宋体" w:cs="宋体"/>
      <w:b/>
      <w:bCs/>
      <w:szCs w:val="21"/>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7"/>
    <w:basedOn w:val="1"/>
    <w:next w:val="1"/>
    <w:link w:val="33"/>
    <w:semiHidden/>
    <w:unhideWhenUsed/>
    <w:qFormat/>
    <w:uiPriority w:val="9"/>
    <w:pPr>
      <w:keepNext/>
      <w:keepLines/>
      <w:spacing w:before="240" w:after="64" w:line="320" w:lineRule="auto"/>
      <w:outlineLvl w:val="6"/>
    </w:pPr>
    <w:rPr>
      <w:b/>
      <w:bCs/>
      <w:sz w:val="24"/>
      <w:szCs w:val="24"/>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21"/>
    <w:unhideWhenUsed/>
    <w:qFormat/>
    <w:uiPriority w:val="0"/>
    <w:pPr>
      <w:jc w:val="left"/>
    </w:pPr>
  </w:style>
  <w:style w:type="paragraph" w:styleId="8">
    <w:name w:val="Date"/>
    <w:basedOn w:val="1"/>
    <w:next w:val="1"/>
    <w:link w:val="24"/>
    <w:semiHidden/>
    <w:unhideWhenUsed/>
    <w:qFormat/>
    <w:uiPriority w:val="99"/>
    <w:pPr>
      <w:ind w:left="100" w:leftChars="2500"/>
    </w:pPr>
  </w:style>
  <w:style w:type="paragraph" w:styleId="9">
    <w:name w:val="Balloon Text"/>
    <w:basedOn w:val="1"/>
    <w:link w:val="22"/>
    <w:semiHidden/>
    <w:unhideWhenUsed/>
    <w:uiPriority w:val="99"/>
    <w:rPr>
      <w:sz w:val="18"/>
      <w:szCs w:val="18"/>
    </w:rPr>
  </w:style>
  <w:style w:type="paragraph" w:styleId="10">
    <w:name w:val="footer"/>
    <w:basedOn w:val="1"/>
    <w:link w:val="18"/>
    <w:unhideWhenUsed/>
    <w:uiPriority w:val="99"/>
    <w:pPr>
      <w:tabs>
        <w:tab w:val="center" w:pos="4153"/>
        <w:tab w:val="right" w:pos="8306"/>
      </w:tabs>
      <w:snapToGrid w:val="0"/>
      <w:jc w:val="left"/>
    </w:pPr>
    <w:rPr>
      <w:sz w:val="18"/>
      <w:szCs w:val="18"/>
    </w:rPr>
  </w:style>
  <w:style w:type="paragraph" w:styleId="11">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link w:val="19"/>
    <w:uiPriority w:val="0"/>
    <w:pPr>
      <w:spacing w:before="240" w:after="60"/>
      <w:jc w:val="center"/>
      <w:outlineLvl w:val="0"/>
    </w:pPr>
    <w:rPr>
      <w:rFonts w:ascii="Cambria" w:hAnsi="Cambria"/>
      <w:b/>
      <w:sz w:val="32"/>
      <w:szCs w:val="20"/>
    </w:rPr>
  </w:style>
  <w:style w:type="paragraph" w:styleId="13">
    <w:name w:val="annotation subject"/>
    <w:basedOn w:val="7"/>
    <w:next w:val="7"/>
    <w:link w:val="25"/>
    <w:semiHidden/>
    <w:unhideWhenUsed/>
    <w:uiPriority w:val="99"/>
    <w:rPr>
      <w:b/>
      <w:bCs/>
    </w:rPr>
  </w:style>
  <w:style w:type="character" w:styleId="16">
    <w:name w:val="Hyperlink"/>
    <w:basedOn w:val="15"/>
    <w:unhideWhenUsed/>
    <w:uiPriority w:val="99"/>
    <w:rPr>
      <w:color w:val="0563C1" w:themeColor="hyperlink"/>
      <w:u w:val="single"/>
      <w14:textFill>
        <w14:solidFill>
          <w14:schemeClr w14:val="hlink"/>
        </w14:solidFill>
      </w14:textFill>
    </w:rPr>
  </w:style>
  <w:style w:type="character" w:styleId="17">
    <w:name w:val="annotation reference"/>
    <w:unhideWhenUsed/>
    <w:uiPriority w:val="0"/>
    <w:rPr>
      <w:sz w:val="21"/>
      <w:szCs w:val="21"/>
    </w:rPr>
  </w:style>
  <w:style w:type="character" w:customStyle="1" w:styleId="18">
    <w:name w:val="页脚 字符"/>
    <w:basedOn w:val="15"/>
    <w:link w:val="10"/>
    <w:uiPriority w:val="99"/>
    <w:rPr>
      <w:rFonts w:ascii="Calibri" w:hAnsi="Calibri" w:eastAsia="宋体" w:cs="Times New Roman"/>
      <w:sz w:val="18"/>
      <w:szCs w:val="18"/>
    </w:rPr>
  </w:style>
  <w:style w:type="character" w:customStyle="1" w:styleId="19">
    <w:name w:val="标题 字符"/>
    <w:basedOn w:val="15"/>
    <w:link w:val="12"/>
    <w:uiPriority w:val="0"/>
    <w:rPr>
      <w:rFonts w:ascii="Cambria" w:hAnsi="Cambria" w:eastAsia="宋体" w:cs="Times New Roman"/>
      <w:b/>
      <w:sz w:val="32"/>
      <w:szCs w:val="20"/>
    </w:rPr>
  </w:style>
  <w:style w:type="paragraph" w:customStyle="1" w:styleId="20">
    <w:name w:val="的"/>
    <w:basedOn w:val="1"/>
    <w:uiPriority w:val="0"/>
    <w:pPr>
      <w:tabs>
        <w:tab w:val="left" w:pos="840"/>
      </w:tabs>
      <w:adjustRightInd w:val="0"/>
      <w:snapToGrid w:val="0"/>
      <w:spacing w:line="0" w:lineRule="atLeast"/>
    </w:pPr>
    <w:rPr>
      <w:rFonts w:ascii="宋体" w:hAnsi="宋体" w:cs="宋体"/>
      <w:b/>
      <w:szCs w:val="21"/>
    </w:rPr>
  </w:style>
  <w:style w:type="character" w:customStyle="1" w:styleId="21">
    <w:name w:val="批注文字 字符"/>
    <w:basedOn w:val="15"/>
    <w:link w:val="7"/>
    <w:uiPriority w:val="0"/>
    <w:rPr>
      <w:rFonts w:ascii="Calibri" w:hAnsi="Calibri" w:eastAsia="宋体" w:cs="Times New Roman"/>
    </w:rPr>
  </w:style>
  <w:style w:type="character" w:customStyle="1" w:styleId="22">
    <w:name w:val="批注框文本 字符"/>
    <w:basedOn w:val="15"/>
    <w:link w:val="9"/>
    <w:semiHidden/>
    <w:uiPriority w:val="99"/>
    <w:rPr>
      <w:rFonts w:ascii="Calibri" w:hAnsi="Calibri" w:eastAsia="宋体" w:cs="Times New Roman"/>
      <w:sz w:val="18"/>
      <w:szCs w:val="18"/>
    </w:rPr>
  </w:style>
  <w:style w:type="character" w:customStyle="1" w:styleId="23">
    <w:name w:val="页眉 字符"/>
    <w:basedOn w:val="15"/>
    <w:link w:val="11"/>
    <w:uiPriority w:val="99"/>
    <w:rPr>
      <w:rFonts w:ascii="Calibri" w:hAnsi="Calibri" w:eastAsia="宋体" w:cs="Times New Roman"/>
      <w:sz w:val="18"/>
      <w:szCs w:val="18"/>
    </w:rPr>
  </w:style>
  <w:style w:type="character" w:customStyle="1" w:styleId="24">
    <w:name w:val="日期 字符"/>
    <w:basedOn w:val="15"/>
    <w:link w:val="8"/>
    <w:semiHidden/>
    <w:uiPriority w:val="99"/>
    <w:rPr>
      <w:rFonts w:ascii="Calibri" w:hAnsi="Calibri" w:eastAsia="宋体" w:cs="Times New Roman"/>
    </w:rPr>
  </w:style>
  <w:style w:type="character" w:customStyle="1" w:styleId="25">
    <w:name w:val="批注主题 字符"/>
    <w:basedOn w:val="21"/>
    <w:link w:val="13"/>
    <w:semiHidden/>
    <w:uiPriority w:val="99"/>
    <w:rPr>
      <w:rFonts w:ascii="Calibri" w:hAnsi="Calibri" w:eastAsia="宋体" w:cs="Times New Roman"/>
      <w:b/>
      <w:bCs/>
    </w:rPr>
  </w:style>
  <w:style w:type="paragraph" w:customStyle="1" w:styleId="26">
    <w:name w:val="条款正文"/>
    <w:basedOn w:val="1"/>
    <w:link w:val="34"/>
    <w:qFormat/>
    <w:uiPriority w:val="0"/>
    <w:pPr>
      <w:adjustRightInd w:val="0"/>
      <w:snapToGrid w:val="0"/>
      <w:ind w:left="840" w:leftChars="400" w:firstLine="420" w:firstLineChars="200"/>
    </w:pPr>
    <w:rPr>
      <w:rFonts w:ascii="Times New Roman" w:hAnsi="Times New Roman"/>
      <w:szCs w:val="24"/>
    </w:rPr>
  </w:style>
  <w:style w:type="character" w:customStyle="1" w:styleId="27">
    <w:name w:val="标题 1 字符"/>
    <w:basedOn w:val="15"/>
    <w:link w:val="2"/>
    <w:uiPriority w:val="9"/>
    <w:rPr>
      <w:rFonts w:ascii="宋体" w:hAnsi="宋体" w:eastAsia="宋体" w:cs="宋体"/>
      <w:b/>
      <w:bCs/>
      <w:kern w:val="44"/>
      <w:szCs w:val="21"/>
    </w:rPr>
  </w:style>
  <w:style w:type="character" w:customStyle="1" w:styleId="28">
    <w:name w:val="标题 2 字符"/>
    <w:basedOn w:val="15"/>
    <w:link w:val="3"/>
    <w:uiPriority w:val="9"/>
    <w:rPr>
      <w:rFonts w:ascii="宋体" w:hAnsi="宋体" w:eastAsia="宋体" w:cs="宋体"/>
      <w:b/>
      <w:bCs/>
      <w:szCs w:val="21"/>
    </w:rPr>
  </w:style>
  <w:style w:type="character" w:customStyle="1" w:styleId="29">
    <w:name w:val="标题 3 字符"/>
    <w:basedOn w:val="15"/>
    <w:link w:val="4"/>
    <w:qFormat/>
    <w:uiPriority w:val="9"/>
    <w:rPr>
      <w:rFonts w:ascii="宋体" w:hAnsi="宋体" w:eastAsia="宋体" w:cs="宋体"/>
      <w:b/>
      <w:bCs/>
      <w:szCs w:val="21"/>
    </w:rPr>
  </w:style>
  <w:style w:type="character" w:customStyle="1" w:styleId="30">
    <w:name w:val="标题 4 字符"/>
    <w:basedOn w:val="15"/>
    <w:link w:val="5"/>
    <w:uiPriority w:val="9"/>
    <w:rPr>
      <w:rFonts w:asciiTheme="majorHAnsi" w:hAnsiTheme="majorHAnsi" w:eastAsiaTheme="majorEastAsia" w:cstheme="majorBidi"/>
      <w:b/>
      <w:bCs/>
      <w:sz w:val="28"/>
      <w:szCs w:val="28"/>
    </w:rPr>
  </w:style>
  <w:style w:type="character" w:customStyle="1" w:styleId="31">
    <w:name w:val="fontstyle01"/>
    <w:basedOn w:val="15"/>
    <w:uiPriority w:val="0"/>
    <w:rPr>
      <w:rFonts w:hint="eastAsia" w:ascii="宋体" w:hAnsi="宋体" w:eastAsia="宋体"/>
      <w:color w:val="000000"/>
      <w:sz w:val="20"/>
      <w:szCs w:val="20"/>
    </w:rPr>
  </w:style>
  <w:style w:type="paragraph" w:customStyle="1" w:styleId="32">
    <w:name w:val="条款标题"/>
    <w:basedOn w:val="1"/>
    <w:qFormat/>
    <w:uiPriority w:val="0"/>
    <w:pPr>
      <w:tabs>
        <w:tab w:val="left" w:pos="840"/>
      </w:tabs>
      <w:adjustRightInd w:val="0"/>
      <w:snapToGrid w:val="0"/>
    </w:pPr>
    <w:rPr>
      <w:rFonts w:ascii="Times New Roman" w:hAnsi="Times New Roman"/>
      <w:b/>
      <w:szCs w:val="20"/>
    </w:rPr>
  </w:style>
  <w:style w:type="character" w:customStyle="1" w:styleId="33">
    <w:name w:val="标题 7 字符"/>
    <w:basedOn w:val="15"/>
    <w:link w:val="6"/>
    <w:uiPriority w:val="0"/>
    <w:rPr>
      <w:rFonts w:ascii="Calibri" w:hAnsi="Calibri" w:eastAsia="宋体" w:cs="Times New Roman"/>
      <w:b/>
      <w:bCs/>
      <w:sz w:val="24"/>
      <w:szCs w:val="24"/>
    </w:rPr>
  </w:style>
  <w:style w:type="character" w:customStyle="1" w:styleId="34">
    <w:name w:val="条款正文 字符"/>
    <w:link w:val="26"/>
    <w:uiPriority w:val="0"/>
    <w:rPr>
      <w:rFonts w:ascii="Times New Roman" w:hAnsi="Times New Roman" w:eastAsia="宋体" w:cs="Times New Roman"/>
      <w:szCs w:val="24"/>
    </w:rPr>
  </w:style>
  <w:style w:type="paragraph" w:customStyle="1" w:styleId="35">
    <w:name w:val="3级"/>
    <w:basedOn w:val="26"/>
    <w:qFormat/>
    <w:uiPriority w:val="0"/>
    <w:pPr>
      <w:tabs>
        <w:tab w:val="left" w:pos="945"/>
      </w:tabs>
      <w:ind w:left="0" w:leftChars="0" w:firstLine="0" w:firstLineChars="0"/>
      <w:outlineLvl w:val="2"/>
    </w:pPr>
    <w:rPr>
      <w:rFonts w:ascii="宋体" w:hAnsi="宋体" w:cs="宋体"/>
      <w:b/>
      <w:color w:val="000000"/>
      <w:szCs w:val="21"/>
    </w:rPr>
  </w:style>
  <w:style w:type="paragraph" w:customStyle="1" w:styleId="36">
    <w:name w:val="Char Char1 Char Char Char Char"/>
    <w:basedOn w:val="1"/>
    <w:uiPriority w:val="0"/>
    <w:pPr>
      <w:widowControl/>
      <w:autoSpaceDE w:val="0"/>
      <w:autoSpaceDN w:val="0"/>
      <w:adjustRightInd w:val="0"/>
      <w:jc w:val="left"/>
    </w:pPr>
    <w:rPr>
      <w:rFonts w:ascii="Times New Roman" w:hAnsi="Times New Roman"/>
      <w:szCs w:val="20"/>
    </w:rPr>
  </w:style>
  <w:style w:type="paragraph" w:customStyle="1" w:styleId="37">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09F0C-0A33-4021-B167-30460E3E3B3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1240</Words>
  <Characters>7071</Characters>
  <Lines>58</Lines>
  <Paragraphs>16</Paragraphs>
  <TotalTime>1800</TotalTime>
  <ScaleCrop>false</ScaleCrop>
  <LinksUpToDate>false</LinksUpToDate>
  <CharactersWithSpaces>8295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2017-07-10T01:56:00Z</dcterms:created>
  <dc:creator>唐乃杰</dc:creator>
  <cp:lastModifiedBy>赵骏</cp:lastModifiedBy>
  <dcterms:modified xsi:type="dcterms:W3CDTF">2021-12-30T01:01:23Z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