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747A348" w14:textId="6A0FC408" w:rsidR="008F265F" w:rsidRDefault="00BF0E38">
      <w:pPr>
        <w:spacing w:beforeLines="50" w:before="156"/>
        <w:rPr>
          <w:rFonts w:ascii="宋体" w:hAnsi="宋体"/>
          <w:b/>
          <w:bCs/>
          <w:sz w:val="28"/>
        </w:rPr>
      </w:pPr>
      <w:r>
        <w:rPr>
          <w:rFonts w:ascii="宋体" w:hAnsi="宋体"/>
          <w:noProof/>
        </w:rPr>
        <mc:AlternateContent>
          <mc:Choice Requires="wpg">
            <w:drawing>
              <wp:anchor distT="0" distB="0" distL="114300" distR="114300" simplePos="0" relativeHeight="251659264" behindDoc="0" locked="0" layoutInCell="1" allowOverlap="1" wp14:anchorId="242F0EEF" wp14:editId="3D3B544A">
                <wp:simplePos x="0" y="0"/>
                <wp:positionH relativeFrom="column">
                  <wp:posOffset>4876165</wp:posOffset>
                </wp:positionH>
                <wp:positionV relativeFrom="paragraph">
                  <wp:posOffset>-34290</wp:posOffset>
                </wp:positionV>
                <wp:extent cx="1685925" cy="1590040"/>
                <wp:effectExtent l="0" t="0" r="0" b="0"/>
                <wp:wrapNone/>
                <wp:docPr id="3" name="组合 3"/>
                <wp:cNvGraphicFramePr/>
                <a:graphic xmlns:a="http://schemas.openxmlformats.org/drawingml/2006/main">
                  <a:graphicData uri="http://schemas.microsoft.com/office/word/2010/wordprocessingGroup">
                    <wpg:wgp>
                      <wpg:cNvGrpSpPr/>
                      <wpg:grpSpPr>
                        <a:xfrm>
                          <a:off x="0" y="0"/>
                          <a:ext cx="1685925" cy="1590040"/>
                          <a:chOff x="0" y="0"/>
                          <a:chExt cx="1685925" cy="1553312"/>
                        </a:xfrm>
                      </wpg:grpSpPr>
                      <wps:wsp>
                        <wps:cNvPr id="4" name="文本框 4"/>
                        <wps:cNvSpPr txBox="1">
                          <a:spLocks noChangeArrowheads="1"/>
                        </wps:cNvSpPr>
                        <wps:spPr bwMode="auto">
                          <a:xfrm>
                            <a:off x="180974" y="0"/>
                            <a:ext cx="1323975" cy="523875"/>
                          </a:xfrm>
                          <a:prstGeom prst="rect">
                            <a:avLst/>
                          </a:prstGeom>
                          <a:noFill/>
                          <a:ln>
                            <a:noFill/>
                          </a:ln>
                        </wps:spPr>
                        <wps:txbx>
                          <w:txbxContent>
                            <w:p w14:paraId="11E6105F" w14:textId="77777777" w:rsidR="00B90481" w:rsidRDefault="00B90481">
                              <w:pPr>
                                <w:pStyle w:val="ac"/>
                                <w:spacing w:before="0" w:beforeAutospacing="0" w:after="0" w:afterAutospacing="0"/>
                                <w:jc w:val="center"/>
                              </w:pPr>
                              <w:r>
                                <w:rPr>
                                  <w:rFonts w:ascii="仿宋" w:eastAsia="仿宋" w:hAnsi="仿宋" w:cstheme="minorBidi" w:hint="eastAsia"/>
                                  <w:color w:val="000000"/>
                                  <w:sz w:val="21"/>
                                  <w:szCs w:val="21"/>
                                </w:rPr>
                                <w:t>招商仁</w:t>
                              </w:r>
                              <w:r>
                                <w:rPr>
                                  <w:rFonts w:ascii="仿宋" w:eastAsia="仿宋" w:hAnsi="仿宋" w:cstheme="minorBidi" w:hint="eastAsia"/>
                                  <w:sz w:val="21"/>
                                  <w:szCs w:val="21"/>
                                </w:rPr>
                                <w:t>和[20</w:t>
                              </w:r>
                              <w:r>
                                <w:rPr>
                                  <w:rFonts w:ascii="仿宋" w:eastAsia="仿宋" w:hAnsi="仿宋" w:cstheme="minorBidi"/>
                                  <w:sz w:val="21"/>
                                  <w:szCs w:val="21"/>
                                </w:rPr>
                                <w:t>24</w:t>
                              </w:r>
                              <w:r>
                                <w:rPr>
                                  <w:rFonts w:ascii="仿宋" w:eastAsia="仿宋" w:hAnsi="仿宋" w:cstheme="minorBidi" w:hint="eastAsia"/>
                                  <w:sz w:val="21"/>
                                  <w:szCs w:val="21"/>
                                </w:rPr>
                                <w:t>]</w:t>
                              </w:r>
                            </w:p>
                            <w:p w14:paraId="420EC8D4" w14:textId="77777777" w:rsidR="00B90481" w:rsidRDefault="00B90481">
                              <w:pPr>
                                <w:pStyle w:val="ac"/>
                                <w:spacing w:before="0" w:beforeAutospacing="0" w:after="0" w:afterAutospacing="0"/>
                                <w:jc w:val="center"/>
                              </w:pPr>
                              <w:r>
                                <w:rPr>
                                  <w:rFonts w:ascii="仿宋" w:eastAsia="仿宋" w:hAnsi="仿宋" w:cstheme="minorBidi" w:hint="eastAsia"/>
                                  <w:sz w:val="21"/>
                                  <w:szCs w:val="21"/>
                                </w:rPr>
                                <w:t>疾病保险0</w:t>
                              </w:r>
                              <w:r>
                                <w:rPr>
                                  <w:rFonts w:ascii="仿宋" w:eastAsia="仿宋" w:hAnsi="仿宋" w:cstheme="minorBidi"/>
                                  <w:sz w:val="21"/>
                                  <w:szCs w:val="21"/>
                                </w:rPr>
                                <w:t>01</w:t>
                              </w:r>
                              <w:r>
                                <w:rPr>
                                  <w:rFonts w:ascii="仿宋" w:eastAsia="仿宋" w:hAnsi="仿宋" w:cstheme="minorBidi" w:hint="eastAsia"/>
                                  <w:color w:val="000000"/>
                                  <w:sz w:val="21"/>
                                  <w:szCs w:val="21"/>
                                </w:rPr>
                                <w:t>号</w:t>
                              </w:r>
                            </w:p>
                          </w:txbxContent>
                        </wps:txbx>
                        <wps:bodyPr wrap="square" lIns="91440" tIns="45720" rIns="91440" bIns="45720" anchor="ctr" upright="1"/>
                      </wps:wsp>
                      <wps:wsp>
                        <wps:cNvPr id="9" name="文本框 4"/>
                        <wps:cNvSpPr txBox="1">
                          <a:spLocks noChangeArrowheads="1"/>
                        </wps:cNvSpPr>
                        <wps:spPr bwMode="auto">
                          <a:xfrm>
                            <a:off x="0" y="1029437"/>
                            <a:ext cx="1685925" cy="523875"/>
                          </a:xfrm>
                          <a:prstGeom prst="rect">
                            <a:avLst/>
                          </a:prstGeom>
                          <a:noFill/>
                          <a:ln>
                            <a:noFill/>
                          </a:ln>
                        </wps:spPr>
                        <wps:txbx>
                          <w:txbxContent>
                            <w:p w14:paraId="45289B78" w14:textId="77777777" w:rsidR="00B90481" w:rsidRDefault="00B90481">
                              <w:pPr>
                                <w:pStyle w:val="ac"/>
                                <w:spacing w:before="0" w:beforeAutospacing="0" w:after="0" w:afterAutospacing="0"/>
                                <w:jc w:val="center"/>
                              </w:pPr>
                              <w:r>
                                <w:rPr>
                                  <w:rFonts w:ascii="仿宋" w:eastAsia="仿宋" w:hAnsi="仿宋" w:cstheme="minorBidi" w:hint="eastAsia"/>
                                  <w:sz w:val="22"/>
                                  <w:szCs w:val="22"/>
                                </w:rPr>
                                <w:t>请扫描以查询验证条款</w:t>
                              </w:r>
                            </w:p>
                          </w:txbxContent>
                        </wps:txbx>
                        <wps:bodyPr wrap="square" lIns="91440" tIns="45720" rIns="91440" bIns="45720" anchor="ctr" upright="1"/>
                      </wps:wsp>
                    </wpg:wgp>
                  </a:graphicData>
                </a:graphic>
                <wp14:sizeRelV relativeFrom="margin">
                  <wp14:pctHeight>0</wp14:pctHeight>
                </wp14:sizeRelV>
              </wp:anchor>
            </w:drawing>
          </mc:Choice>
          <mc:Fallback>
            <w:pict>
              <v:group w14:anchorId="242F0EEF" id="组合 3" o:spid="_x0000_s1026" style="position:absolute;left:0;text-align:left;margin-left:383.95pt;margin-top:-2.7pt;width:132.75pt;height:125.2pt;z-index:251659264;mso-height-relative:margin" coordsize="16859,1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yufQIAAM0GAAAOAAAAZHJzL2Uyb0RvYy54bWzMlc1y0zAQx+/M8A4a3Ym/kib2xOkApRlm&#10;CnSm8ACKLH8MtiQkJXbuDHDkxIkLd96A5yG8BivZTUPbUxk+Loq1klb//e1qMz/umhptmNKV4CkO&#10;Rj5GjFORVbxI8auXpw9mGGlDeEZqwVmKt0zj48X9e/NWJiwUpagzphA44TppZYpLY2TieZqWrCF6&#10;JCTjsJgL1RADU1V4mSIteG9qL/T9I68VKpNKUKY1WE/6Rbxw/vOcUfMizzUzqE4xaDNuVG5c2dFb&#10;zElSKCLLig4yyB1UNKTicOne1QkxBK1VdcNVU1EltMjNiIrGE3leUeZigGgC/1o0SyXW0sVSJG0h&#10;95gA7TVOd3ZLn2/OFaqyFEcYcdJAin58e/v94wcUWTatLBLYslTyQp6rwVD0Mxtul6vG/kIgqHNU&#10;t3uqrDOIgjE4mk3icIIRhbVgEvv+eOBOS0jOjXO0fHL7yUkUBaFV5V1e7Fl9ezmthBrSV5j072G6&#10;KIlkjr62DAZM40tMu0/vd5+/7r68Q+OelNtlMSHTPRI2cFcRWp4J+lojLh6XhBfsoVKiLRnJQF7g&#10;orG64QJ71BLXibZOVu0zkUE6yNoI5+ga62Dmx1NQcwvwKIzi6QB8EkYz+D6kRhKptFky0SD7kWIF&#10;z8RdQTZn2vRbL7fY7HJxWtU12ElS818MkAlrgTz0qnv9plt1sNsaVyLbQjAtvLAU6zdrohhG9VMO&#10;wcfBGAoBGTcZT6YhTNThyupwhXBaCni41CiM1lJVRQnKrwBC4vsb/3gFxP9LBQAv+6L8MB5HU5th&#10;ktz65v5VCbi24jL09yvBdQboma5ZDP3dNuXDuavbq3+hxU8AAAD//wMAUEsDBBQABgAIAAAAIQC1&#10;rHU+4gAAAAsBAAAPAAAAZHJzL2Rvd25yZXYueG1sTI/BbsIwDIbvk/YOkSftBkkpBdY1RQhtO6FJ&#10;g0loN9OYtqJJqia05e0XTtvNlj/9/v5sPeqG9dS52hoJ0VQAI1NYVZtSwvfhfbIC5jwahY01JOFG&#10;Dtb540OGqbKD+aJ+70sWQoxLUULlfZty7oqKNLqpbcmE29l2Gn1Yu5KrDocQrhs+E2LBNdYmfKiw&#10;pW1FxWV/1RI+Bhw2cfTW7y7n7e3nkHwedxFJ+fw0bl6BeRr9Hwx3/aAOeXA62atRjjUSlovlS0Al&#10;TJI5sDsg4jhMJwmzeSKA5xn/3yH/BQAA//8DAFBLAQItABQABgAIAAAAIQC2gziS/gAAAOEBAAAT&#10;AAAAAAAAAAAAAAAAAAAAAABbQ29udGVudF9UeXBlc10ueG1sUEsBAi0AFAAGAAgAAAAhADj9If/W&#10;AAAAlAEAAAsAAAAAAAAAAAAAAAAALwEAAF9yZWxzLy5yZWxzUEsBAi0AFAAGAAgAAAAhAA2/HK59&#10;AgAAzQYAAA4AAAAAAAAAAAAAAAAALgIAAGRycy9lMm9Eb2MueG1sUEsBAi0AFAAGAAgAAAAhALWs&#10;dT7iAAAACwEAAA8AAAAAAAAAAAAAAAAA1wQAAGRycy9kb3ducmV2LnhtbFBLBQYAAAAABAAEAPMA&#10;AADmBQAAAAA=&#10;">
                <v:shapetype id="_x0000_t202" coordsize="21600,21600" o:spt="202" path="m,l,21600r21600,l21600,xe">
                  <v:stroke joinstyle="miter"/>
                  <v:path gradientshapeok="t" o:connecttype="rect"/>
                </v:shapetype>
                <v:shape id="文本框 4" o:spid="_x0000_s1027" type="#_x0000_t202" style="position:absolute;left:1809;width:13240;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14:paraId="11E6105F" w14:textId="77777777" w:rsidR="00B90481" w:rsidRDefault="00B90481">
                        <w:pPr>
                          <w:pStyle w:val="ac"/>
                          <w:spacing w:before="0" w:beforeAutospacing="0" w:after="0" w:afterAutospacing="0"/>
                          <w:jc w:val="center"/>
                        </w:pPr>
                        <w:r>
                          <w:rPr>
                            <w:rFonts w:ascii="仿宋" w:eastAsia="仿宋" w:hAnsi="仿宋" w:cstheme="minorBidi" w:hint="eastAsia"/>
                            <w:color w:val="000000"/>
                            <w:sz w:val="21"/>
                            <w:szCs w:val="21"/>
                          </w:rPr>
                          <w:t>招商仁</w:t>
                        </w:r>
                        <w:r>
                          <w:rPr>
                            <w:rFonts w:ascii="仿宋" w:eastAsia="仿宋" w:hAnsi="仿宋" w:cstheme="minorBidi" w:hint="eastAsia"/>
                            <w:sz w:val="21"/>
                            <w:szCs w:val="21"/>
                          </w:rPr>
                          <w:t>和[20</w:t>
                        </w:r>
                        <w:r>
                          <w:rPr>
                            <w:rFonts w:ascii="仿宋" w:eastAsia="仿宋" w:hAnsi="仿宋" w:cstheme="minorBidi"/>
                            <w:sz w:val="21"/>
                            <w:szCs w:val="21"/>
                          </w:rPr>
                          <w:t>24</w:t>
                        </w:r>
                        <w:r>
                          <w:rPr>
                            <w:rFonts w:ascii="仿宋" w:eastAsia="仿宋" w:hAnsi="仿宋" w:cstheme="minorBidi" w:hint="eastAsia"/>
                            <w:sz w:val="21"/>
                            <w:szCs w:val="21"/>
                          </w:rPr>
                          <w:t>]</w:t>
                        </w:r>
                      </w:p>
                      <w:p w14:paraId="420EC8D4" w14:textId="77777777" w:rsidR="00B90481" w:rsidRDefault="00B90481">
                        <w:pPr>
                          <w:pStyle w:val="ac"/>
                          <w:spacing w:before="0" w:beforeAutospacing="0" w:after="0" w:afterAutospacing="0"/>
                          <w:jc w:val="center"/>
                        </w:pPr>
                        <w:r>
                          <w:rPr>
                            <w:rFonts w:ascii="仿宋" w:eastAsia="仿宋" w:hAnsi="仿宋" w:cstheme="minorBidi" w:hint="eastAsia"/>
                            <w:sz w:val="21"/>
                            <w:szCs w:val="21"/>
                          </w:rPr>
                          <w:t>疾病保险0</w:t>
                        </w:r>
                        <w:r>
                          <w:rPr>
                            <w:rFonts w:ascii="仿宋" w:eastAsia="仿宋" w:hAnsi="仿宋" w:cstheme="minorBidi"/>
                            <w:sz w:val="21"/>
                            <w:szCs w:val="21"/>
                          </w:rPr>
                          <w:t>01</w:t>
                        </w:r>
                        <w:r>
                          <w:rPr>
                            <w:rFonts w:ascii="仿宋" w:eastAsia="仿宋" w:hAnsi="仿宋" w:cstheme="minorBidi" w:hint="eastAsia"/>
                            <w:color w:val="000000"/>
                            <w:sz w:val="21"/>
                            <w:szCs w:val="21"/>
                          </w:rPr>
                          <w:t>号</w:t>
                        </w:r>
                      </w:p>
                    </w:txbxContent>
                  </v:textbox>
                </v:shape>
                <v:shape id="文本框 4" o:spid="_x0000_s1028" type="#_x0000_t202" style="position:absolute;top:10294;width:16859;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14:paraId="45289B78" w14:textId="77777777" w:rsidR="00B90481" w:rsidRDefault="00B90481">
                        <w:pPr>
                          <w:pStyle w:val="ac"/>
                          <w:spacing w:before="0" w:beforeAutospacing="0" w:after="0" w:afterAutospacing="0"/>
                          <w:jc w:val="center"/>
                        </w:pPr>
                        <w:r>
                          <w:rPr>
                            <w:rFonts w:ascii="仿宋" w:eastAsia="仿宋" w:hAnsi="仿宋" w:cstheme="minorBidi" w:hint="eastAsia"/>
                            <w:sz w:val="22"/>
                            <w:szCs w:val="22"/>
                          </w:rPr>
                          <w:t>请扫描以查询验证条款</w:t>
                        </w:r>
                      </w:p>
                    </w:txbxContent>
                  </v:textbox>
                </v:shape>
              </v:group>
            </w:pict>
          </mc:Fallback>
        </mc:AlternateContent>
      </w:r>
      <w:r>
        <w:rPr>
          <w:noProof/>
        </w:rPr>
        <w:drawing>
          <wp:anchor distT="0" distB="0" distL="114300" distR="114300" simplePos="0" relativeHeight="251674624" behindDoc="0" locked="0" layoutInCell="1" allowOverlap="1" wp14:anchorId="7A5FBEA7" wp14:editId="79E04A8F">
            <wp:simplePos x="0" y="0"/>
            <wp:positionH relativeFrom="column">
              <wp:posOffset>5370830</wp:posOffset>
            </wp:positionH>
            <wp:positionV relativeFrom="paragraph">
              <wp:posOffset>454025</wp:posOffset>
            </wp:positionV>
            <wp:extent cx="723900" cy="723900"/>
            <wp:effectExtent l="0" t="0" r="0" b="0"/>
            <wp:wrapNone/>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extLst>
                        <a:ext uri="{28A0092B-C50C-407E-A947-70E740481C1C}">
                          <a14:useLocalDpi xmlns:a14="http://schemas.microsoft.com/office/drawing/2010/main" val="0"/>
                        </a:ext>
                      </a:extLst>
                    </a:blip>
                    <a:srcRect/>
                    <a:stretch>
                      <a:fillRect/>
                    </a:stretch>
                  </pic:blipFill>
                  <pic:spPr>
                    <a:xfrm>
                      <a:off x="0" y="0"/>
                      <a:ext cx="723900" cy="723900"/>
                    </a:xfrm>
                    <a:prstGeom prst="rect">
                      <a:avLst/>
                    </a:prstGeom>
                    <a:noFill/>
                    <a:ln>
                      <a:noFill/>
                    </a:ln>
                  </pic:spPr>
                </pic:pic>
              </a:graphicData>
            </a:graphic>
          </wp:anchor>
        </w:drawing>
      </w:r>
      <w:r w:rsidR="00A542E4">
        <w:rPr>
          <w:rFonts w:ascii="宋体" w:hAnsi="宋体"/>
          <w:noProof/>
        </w:rPr>
        <w:drawing>
          <wp:inline distT="0" distB="0" distL="0" distR="0" wp14:anchorId="47A0ED42" wp14:editId="03BACA02">
            <wp:extent cx="1821180" cy="471170"/>
            <wp:effectExtent l="0" t="0" r="7620" b="5080"/>
            <wp:docPr id="10" name="图片 10" descr="C:\Users\dinghl\Desktop\公司新logo\公司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dinghl\Desktop\公司新logo\公司新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21600" cy="471600"/>
                    </a:xfrm>
                    <a:prstGeom prst="rect">
                      <a:avLst/>
                    </a:prstGeom>
                    <a:noFill/>
                    <a:ln>
                      <a:noFill/>
                    </a:ln>
                  </pic:spPr>
                </pic:pic>
              </a:graphicData>
            </a:graphic>
          </wp:inline>
        </w:drawing>
      </w:r>
    </w:p>
    <w:p w14:paraId="41E11CCA" w14:textId="77777777" w:rsidR="008F265F" w:rsidRDefault="00A542E4">
      <w:pPr>
        <w:spacing w:beforeLines="50" w:before="156"/>
        <w:jc w:val="center"/>
        <w:rPr>
          <w:rFonts w:ascii="宋体" w:hAnsi="宋体"/>
          <w:b/>
          <w:bCs/>
          <w:sz w:val="28"/>
        </w:rPr>
      </w:pPr>
      <w:r>
        <w:rPr>
          <w:rFonts w:ascii="宋体" w:hAnsi="宋体" w:hint="eastAsia"/>
          <w:b/>
          <w:bCs/>
          <w:noProof/>
          <w:sz w:val="28"/>
        </w:rPr>
        <w:drawing>
          <wp:inline distT="0" distB="0" distL="0" distR="0" wp14:anchorId="2FE457B7" wp14:editId="6605C8AB">
            <wp:extent cx="3838575" cy="381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a:extLst>
                        <a:ext uri="{28A0092B-C50C-407E-A947-70E740481C1C}">
                          <a14:useLocalDpi xmlns:a14="http://schemas.microsoft.com/office/drawing/2010/main" val="0"/>
                        </a:ext>
                      </a:extLst>
                    </a:blip>
                    <a:srcRect l="24348" t="64973" r="34644" b="28447"/>
                    <a:stretch>
                      <a:fillRect/>
                    </a:stretch>
                  </pic:blipFill>
                  <pic:spPr>
                    <a:xfrm>
                      <a:off x="0" y="0"/>
                      <a:ext cx="3838575" cy="381000"/>
                    </a:xfrm>
                    <a:prstGeom prst="rect">
                      <a:avLst/>
                    </a:prstGeom>
                    <a:noFill/>
                    <a:ln>
                      <a:noFill/>
                    </a:ln>
                  </pic:spPr>
                </pic:pic>
              </a:graphicData>
            </a:graphic>
          </wp:inline>
        </w:drawing>
      </w:r>
    </w:p>
    <w:p w14:paraId="741A552F" w14:textId="77777777" w:rsidR="008F265F" w:rsidRDefault="00A542E4">
      <w:pPr>
        <w:spacing w:beforeLines="50" w:before="156"/>
        <w:jc w:val="center"/>
      </w:pPr>
      <w:r>
        <w:rPr>
          <w:rFonts w:ascii="宋体" w:hAnsi="宋体" w:hint="eastAsia"/>
          <w:b/>
          <w:bCs/>
          <w:sz w:val="28"/>
        </w:rPr>
        <w:t>招商仁和仁心保贝3号重大疾病保险</w:t>
      </w:r>
      <w:r>
        <w:rPr>
          <w:rFonts w:ascii="宋体" w:hAnsi="宋体"/>
          <w:b/>
          <w:bCs/>
          <w:sz w:val="28"/>
        </w:rPr>
        <w:t>A</w:t>
      </w:r>
      <w:r>
        <w:rPr>
          <w:rFonts w:ascii="宋体" w:hAnsi="宋体" w:hint="eastAsia"/>
          <w:b/>
          <w:bCs/>
          <w:sz w:val="28"/>
        </w:rPr>
        <w:t>款（互联网）条款</w:t>
      </w:r>
    </w:p>
    <w:p w14:paraId="3142EA2E" w14:textId="77777777" w:rsidR="008F265F" w:rsidRDefault="00A542E4">
      <w:pPr>
        <w:spacing w:beforeLines="50" w:before="156"/>
        <w:jc w:val="center"/>
        <w:rPr>
          <w:rFonts w:ascii="宋体" w:hAnsi="宋体"/>
          <w:b/>
          <w:bCs/>
          <w:sz w:val="28"/>
        </w:rPr>
      </w:pPr>
      <w:r>
        <w:rPr>
          <w:rFonts w:ascii="宋体" w:hAnsi="宋体" w:hint="eastAsia"/>
          <w:b/>
          <w:bCs/>
          <w:sz w:val="28"/>
        </w:rPr>
        <w:t xml:space="preserve">阅 读 </w:t>
      </w:r>
      <w:r>
        <w:rPr>
          <w:rFonts w:ascii="宋体" w:hAnsi="宋体"/>
          <w:b/>
          <w:bCs/>
          <w:sz w:val="28"/>
        </w:rPr>
        <w:t>指</w:t>
      </w:r>
      <w:r>
        <w:rPr>
          <w:rFonts w:ascii="宋体" w:hAnsi="宋体" w:hint="eastAsia"/>
          <w:b/>
          <w:bCs/>
          <w:sz w:val="28"/>
        </w:rPr>
        <w:t xml:space="preserve"> </w:t>
      </w:r>
      <w:r>
        <w:rPr>
          <w:rFonts w:ascii="宋体" w:hAnsi="宋体"/>
          <w:b/>
          <w:bCs/>
          <w:sz w:val="28"/>
        </w:rPr>
        <w:t>引</w:t>
      </w:r>
    </w:p>
    <w:p w14:paraId="6F1EB529" w14:textId="77777777" w:rsidR="008F265F" w:rsidRDefault="00A542E4">
      <w:pPr>
        <w:spacing w:beforeLines="50" w:before="156"/>
        <w:jc w:val="center"/>
        <w:rPr>
          <w:rFonts w:ascii="宋体" w:hAnsi="宋体"/>
        </w:rPr>
      </w:pPr>
      <w:r>
        <w:rPr>
          <w:rFonts w:ascii="宋体" w:hAnsi="宋体" w:hint="eastAsia"/>
          <w:color w:val="000000"/>
          <w:em w:val="dot"/>
        </w:rPr>
        <w:t>本</w:t>
      </w:r>
      <w:r>
        <w:rPr>
          <w:rFonts w:ascii="宋体" w:hAnsi="宋体"/>
          <w:color w:val="000000"/>
          <w:em w:val="dot"/>
        </w:rPr>
        <w:t>阅读指引有助于您</w:t>
      </w:r>
      <w:r>
        <w:rPr>
          <w:rFonts w:ascii="宋体" w:hAnsi="宋体" w:hint="eastAsia"/>
          <w:color w:val="000000"/>
          <w:em w:val="dot"/>
        </w:rPr>
        <w:t>（投保人，以下含义相同）</w:t>
      </w:r>
      <w:r>
        <w:rPr>
          <w:rFonts w:ascii="宋体" w:hAnsi="宋体"/>
          <w:color w:val="000000"/>
          <w:em w:val="dot"/>
        </w:rPr>
        <w:t>理解条款，对本主险合同内容的解释以条款为准。</w:t>
      </w:r>
    </w:p>
    <w:tbl>
      <w:tblPr>
        <w:tblW w:w="10206"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926"/>
        <w:gridCol w:w="280"/>
      </w:tblGrid>
      <w:tr w:rsidR="008F265F" w14:paraId="0400BE16" w14:textId="77777777">
        <w:trPr>
          <w:trHeight w:val="2947"/>
          <w:jc w:val="center"/>
        </w:trPr>
        <w:tc>
          <w:tcPr>
            <w:tcW w:w="10206" w:type="dxa"/>
            <w:gridSpan w:val="2"/>
          </w:tcPr>
          <w:p w14:paraId="0818C68E" w14:textId="77777777" w:rsidR="008F265F" w:rsidRDefault="008F265F">
            <w:pPr>
              <w:adjustRightInd w:val="0"/>
              <w:snapToGrid w:val="0"/>
              <w:spacing w:line="20" w:lineRule="exact"/>
              <w:rPr>
                <w:rFonts w:ascii="宋体" w:eastAsia="仿宋_GB2312" w:hAnsi="宋体"/>
                <w:b/>
                <w:bCs/>
                <w:sz w:val="15"/>
              </w:rPr>
            </w:pPr>
          </w:p>
          <w:tbl>
            <w:tblPr>
              <w:tblStyle w:val="ae"/>
              <w:tblW w:w="97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53"/>
              <w:gridCol w:w="1423"/>
              <w:gridCol w:w="7124"/>
            </w:tblGrid>
            <w:tr w:rsidR="008F265F" w14:paraId="08F2AA2C" w14:textId="77777777">
              <w:trPr>
                <w:trHeight w:val="1657"/>
              </w:trPr>
              <w:tc>
                <w:tcPr>
                  <w:tcW w:w="1153" w:type="dxa"/>
                  <w:tcBorders>
                    <w:top w:val="nil"/>
                    <w:bottom w:val="nil"/>
                  </w:tcBorders>
                  <w:vAlign w:val="center"/>
                </w:tcPr>
                <w:p w14:paraId="3985F55A" w14:textId="77777777" w:rsidR="008F265F" w:rsidRDefault="00A542E4">
                  <w:pPr>
                    <w:pStyle w:val="1"/>
                    <w:adjustRightInd w:val="0"/>
                    <w:snapToGrid w:val="0"/>
                    <w:spacing w:line="360" w:lineRule="exact"/>
                    <w:ind w:firstLineChars="0" w:firstLine="0"/>
                    <w:rPr>
                      <w:rFonts w:ascii="宋体" w:eastAsia="仿宋_GB2312" w:hAnsi="宋体"/>
                      <w:b/>
                      <w:bCs/>
                      <w:szCs w:val="21"/>
                    </w:rPr>
                  </w:pPr>
                  <w:r>
                    <w:rPr>
                      <w:rFonts w:ascii="宋体" w:hAnsi="宋体" w:hint="eastAsia"/>
                      <w:noProof/>
                      <w:szCs w:val="21"/>
                    </w:rPr>
                    <mc:AlternateContent>
                      <mc:Choice Requires="wpg">
                        <w:drawing>
                          <wp:anchor distT="0" distB="0" distL="114300" distR="114300" simplePos="0" relativeHeight="251660288" behindDoc="0" locked="0" layoutInCell="1" allowOverlap="1" wp14:anchorId="06F02303" wp14:editId="457BEA3A">
                            <wp:simplePos x="0" y="0"/>
                            <wp:positionH relativeFrom="column">
                              <wp:posOffset>93345</wp:posOffset>
                            </wp:positionH>
                            <wp:positionV relativeFrom="paragraph">
                              <wp:posOffset>128905</wp:posOffset>
                            </wp:positionV>
                            <wp:extent cx="433705" cy="364490"/>
                            <wp:effectExtent l="0" t="0" r="4445" b="0"/>
                            <wp:wrapNone/>
                            <wp:docPr id="15" name="组合 15"/>
                            <wp:cNvGraphicFramePr/>
                            <a:graphic xmlns:a="http://schemas.openxmlformats.org/drawingml/2006/main">
                              <a:graphicData uri="http://schemas.microsoft.com/office/word/2010/wordprocessingGroup">
                                <wpg:wgp>
                                  <wpg:cNvGrpSpPr/>
                                  <wpg:grpSpPr>
                                    <a:xfrm>
                                      <a:off x="0" y="0"/>
                                      <a:ext cx="433705" cy="364490"/>
                                      <a:chOff x="0" y="0"/>
                                      <a:chExt cx="549204" cy="547703"/>
                                    </a:xfrm>
                                  </wpg:grpSpPr>
                                  <wps:wsp>
                                    <wps:cNvPr id="8" name="Oval 23"/>
                                    <wps:cNvSpPr>
                                      <a:spLocks noChangeArrowheads="1"/>
                                    </wps:cNvSpPr>
                                    <wps:spPr bwMode="auto">
                                      <a:xfrm>
                                        <a:off x="217283" y="0"/>
                                        <a:ext cx="117460" cy="122238"/>
                                      </a:xfrm>
                                      <a:prstGeom prst="ellipse">
                                        <a:avLst/>
                                      </a:prstGeom>
                                      <a:solidFill>
                                        <a:schemeClr val="tx1"/>
                                      </a:solidFill>
                                      <a:ln>
                                        <a:noFill/>
                                      </a:ln>
                                    </wps:spPr>
                                    <wps:bodyPr vert="horz" wrap="square" lIns="91440" tIns="45720" rIns="91440" bIns="45720" numCol="1" anchor="t" anchorCtr="0" compatLnSpc="1"/>
                                  </wps:wsp>
                                  <wps:wsp>
                                    <wps:cNvPr id="13" name="Freeform 25"/>
                                    <wps:cNvSpPr/>
                                    <wps:spPr bwMode="auto">
                                      <a:xfrm>
                                        <a:off x="126748" y="153908"/>
                                        <a:ext cx="290475" cy="169863"/>
                                      </a:xfrm>
                                      <a:custGeom>
                                        <a:avLst/>
                                        <a:gdLst>
                                          <a:gd name="T0" fmla="*/ 51 w 101"/>
                                          <a:gd name="T1" fmla="*/ 0 h 59"/>
                                          <a:gd name="T2" fmla="*/ 0 w 101"/>
                                          <a:gd name="T3" fmla="*/ 59 h 59"/>
                                          <a:gd name="T4" fmla="*/ 101 w 101"/>
                                          <a:gd name="T5" fmla="*/ 59 h 59"/>
                                          <a:gd name="T6" fmla="*/ 51 w 101"/>
                                          <a:gd name="T7" fmla="*/ 0 h 59"/>
                                        </a:gdLst>
                                        <a:ahLst/>
                                        <a:cxnLst>
                                          <a:cxn ang="0">
                                            <a:pos x="T0" y="T1"/>
                                          </a:cxn>
                                          <a:cxn ang="0">
                                            <a:pos x="T2" y="T3"/>
                                          </a:cxn>
                                          <a:cxn ang="0">
                                            <a:pos x="T4" y="T5"/>
                                          </a:cxn>
                                          <a:cxn ang="0">
                                            <a:pos x="T6" y="T7"/>
                                          </a:cxn>
                                        </a:cxnLst>
                                        <a:rect l="0" t="0" r="r" b="b"/>
                                        <a:pathLst>
                                          <a:path w="101" h="59">
                                            <a:moveTo>
                                              <a:pt x="51" y="0"/>
                                            </a:moveTo>
                                            <a:cubicBezTo>
                                              <a:pt x="22" y="0"/>
                                              <a:pt x="0" y="26"/>
                                              <a:pt x="0" y="59"/>
                                            </a:cubicBezTo>
                                            <a:cubicBezTo>
                                              <a:pt x="101" y="59"/>
                                              <a:pt x="101" y="59"/>
                                              <a:pt x="101" y="59"/>
                                            </a:cubicBezTo>
                                            <a:cubicBezTo>
                                              <a:pt x="101" y="26"/>
                                              <a:pt x="79" y="0"/>
                                              <a:pt x="51" y="0"/>
                                            </a:cubicBezTo>
                                            <a:close/>
                                          </a:path>
                                        </a:pathLst>
                                      </a:custGeom>
                                      <a:solidFill>
                                        <a:schemeClr val="tx1"/>
                                      </a:solidFill>
                                      <a:ln>
                                        <a:noFill/>
                                      </a:ln>
                                    </wps:spPr>
                                    <wps:bodyPr vert="horz" wrap="square" lIns="91440" tIns="45720" rIns="91440" bIns="45720" numCol="1" anchor="t" anchorCtr="0" compatLnSpc="1"/>
                                  </wps:wsp>
                                  <wps:wsp>
                                    <wps:cNvPr id="14" name="Freeform 27"/>
                                    <wps:cNvSpPr/>
                                    <wps:spPr bwMode="auto">
                                      <a:xfrm>
                                        <a:off x="0" y="334978"/>
                                        <a:ext cx="549204" cy="212725"/>
                                      </a:xfrm>
                                      <a:custGeom>
                                        <a:avLst/>
                                        <a:gdLst>
                                          <a:gd name="T0" fmla="*/ 191 w 191"/>
                                          <a:gd name="T1" fmla="*/ 21 h 74"/>
                                          <a:gd name="T2" fmla="*/ 147 w 191"/>
                                          <a:gd name="T3" fmla="*/ 8 h 74"/>
                                          <a:gd name="T4" fmla="*/ 92 w 191"/>
                                          <a:gd name="T5" fmla="*/ 8 h 74"/>
                                          <a:gd name="T6" fmla="*/ 92 w 191"/>
                                          <a:gd name="T7" fmla="*/ 8 h 74"/>
                                          <a:gd name="T8" fmla="*/ 49 w 191"/>
                                          <a:gd name="T9" fmla="*/ 10 h 74"/>
                                          <a:gd name="T10" fmla="*/ 39 w 191"/>
                                          <a:gd name="T11" fmla="*/ 21 h 74"/>
                                          <a:gd name="T12" fmla="*/ 51 w 191"/>
                                          <a:gd name="T13" fmla="*/ 30 h 74"/>
                                          <a:gd name="T14" fmla="*/ 90 w 191"/>
                                          <a:gd name="T15" fmla="*/ 29 h 74"/>
                                          <a:gd name="T16" fmla="*/ 112 w 191"/>
                                          <a:gd name="T17" fmla="*/ 43 h 74"/>
                                          <a:gd name="T18" fmla="*/ 102 w 191"/>
                                          <a:gd name="T19" fmla="*/ 49 h 74"/>
                                          <a:gd name="T20" fmla="*/ 46 w 191"/>
                                          <a:gd name="T21" fmla="*/ 46 h 74"/>
                                          <a:gd name="T22" fmla="*/ 22 w 191"/>
                                          <a:gd name="T23" fmla="*/ 9 h 74"/>
                                          <a:gd name="T24" fmla="*/ 10 w 191"/>
                                          <a:gd name="T25" fmla="*/ 0 h 74"/>
                                          <a:gd name="T26" fmla="*/ 1 w 191"/>
                                          <a:gd name="T27" fmla="*/ 12 h 74"/>
                                          <a:gd name="T28" fmla="*/ 35 w 191"/>
                                          <a:gd name="T29" fmla="*/ 64 h 74"/>
                                          <a:gd name="T30" fmla="*/ 74 w 191"/>
                                          <a:gd name="T31" fmla="*/ 74 h 74"/>
                                          <a:gd name="T32" fmla="*/ 115 w 191"/>
                                          <a:gd name="T33" fmla="*/ 67 h 74"/>
                                          <a:gd name="T34" fmla="*/ 188 w 191"/>
                                          <a:gd name="T35" fmla="*/ 59 h 74"/>
                                          <a:gd name="T36" fmla="*/ 191 w 191"/>
                                          <a:gd name="T37" fmla="*/ 59 h 74"/>
                                          <a:gd name="T38" fmla="*/ 191 w 191"/>
                                          <a:gd name="T39" fmla="*/ 2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1" h="74">
                                            <a:moveTo>
                                              <a:pt x="191" y="21"/>
                                            </a:moveTo>
                                            <a:cubicBezTo>
                                              <a:pt x="180" y="17"/>
                                              <a:pt x="155" y="8"/>
                                              <a:pt x="147" y="8"/>
                                            </a:cubicBezTo>
                                            <a:cubicBezTo>
                                              <a:pt x="137" y="8"/>
                                              <a:pt x="92" y="8"/>
                                              <a:pt x="92" y="8"/>
                                            </a:cubicBezTo>
                                            <a:cubicBezTo>
                                              <a:pt x="92" y="8"/>
                                              <a:pt x="92" y="8"/>
                                              <a:pt x="92" y="8"/>
                                            </a:cubicBezTo>
                                            <a:cubicBezTo>
                                              <a:pt x="79" y="8"/>
                                              <a:pt x="63" y="9"/>
                                              <a:pt x="49" y="10"/>
                                            </a:cubicBezTo>
                                            <a:cubicBezTo>
                                              <a:pt x="43" y="10"/>
                                              <a:pt x="39" y="15"/>
                                              <a:pt x="39" y="21"/>
                                            </a:cubicBezTo>
                                            <a:cubicBezTo>
                                              <a:pt x="40" y="27"/>
                                              <a:pt x="45" y="31"/>
                                              <a:pt x="51" y="30"/>
                                            </a:cubicBezTo>
                                            <a:cubicBezTo>
                                              <a:pt x="64" y="29"/>
                                              <a:pt x="79" y="29"/>
                                              <a:pt x="90" y="29"/>
                                            </a:cubicBezTo>
                                            <a:cubicBezTo>
                                              <a:pt x="97" y="32"/>
                                              <a:pt x="109" y="37"/>
                                              <a:pt x="112" y="43"/>
                                            </a:cubicBezTo>
                                            <a:cubicBezTo>
                                              <a:pt x="112" y="43"/>
                                              <a:pt x="107" y="46"/>
                                              <a:pt x="102" y="49"/>
                                            </a:cubicBezTo>
                                            <a:cubicBezTo>
                                              <a:pt x="79" y="55"/>
                                              <a:pt x="60" y="54"/>
                                              <a:pt x="46" y="46"/>
                                            </a:cubicBezTo>
                                            <a:cubicBezTo>
                                              <a:pt x="26" y="34"/>
                                              <a:pt x="22" y="10"/>
                                              <a:pt x="22" y="9"/>
                                            </a:cubicBezTo>
                                            <a:cubicBezTo>
                                              <a:pt x="22" y="4"/>
                                              <a:pt x="16" y="0"/>
                                              <a:pt x="10" y="0"/>
                                            </a:cubicBezTo>
                                            <a:cubicBezTo>
                                              <a:pt x="4" y="1"/>
                                              <a:pt x="0" y="6"/>
                                              <a:pt x="1" y="12"/>
                                            </a:cubicBezTo>
                                            <a:cubicBezTo>
                                              <a:pt x="1" y="13"/>
                                              <a:pt x="6" y="46"/>
                                              <a:pt x="35" y="64"/>
                                            </a:cubicBezTo>
                                            <a:cubicBezTo>
                                              <a:pt x="46" y="70"/>
                                              <a:pt x="59" y="74"/>
                                              <a:pt x="74" y="74"/>
                                            </a:cubicBezTo>
                                            <a:cubicBezTo>
                                              <a:pt x="87" y="74"/>
                                              <a:pt x="101" y="71"/>
                                              <a:pt x="115" y="67"/>
                                            </a:cubicBezTo>
                                            <a:cubicBezTo>
                                              <a:pt x="131" y="64"/>
                                              <a:pt x="172" y="57"/>
                                              <a:pt x="188" y="59"/>
                                            </a:cubicBezTo>
                                            <a:cubicBezTo>
                                              <a:pt x="189" y="59"/>
                                              <a:pt x="190" y="59"/>
                                              <a:pt x="191" y="59"/>
                                            </a:cubicBezTo>
                                            <a:lnTo>
                                              <a:pt x="191" y="21"/>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BAD89C0" id="组合 15" o:spid="_x0000_s1026" style="position:absolute;left:0;text-align:left;margin-left:7.35pt;margin-top:10.15pt;width:34.15pt;height:28.7pt;z-index:251660288" coordsize="549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cY1QYAAB8dAAAOAAAAZHJzL2Uyb0RvYy54bWzsWduO2zYQfS/QfyD0WKCxqItlGesN2k03&#10;KJA2AbL9AK0sX1BZVCV5vcnX5wxJyaQt2cqmfSnysmtRw6OZMzOHFHXz+nmXs6esqreiWDj8leuw&#10;rEjFclusF85fD/c/zxxWN0mxTHJRZAvnU1Y7r29//OHmUM4zT2xEvswqBpCinh/KhbNpmnI+mdTp&#10;Jtsl9StRZgVurkS1SxpcVuvJskoOQN/lE891p5ODqJZlJdKsrjH6Rt10biX+apWlzfvVqs4ali8c&#10;+NbIv5X8+0h/J7c3yXxdJeVmm2o3khd4sUu2BR7aQb1JmoTtq+0Z1G6bVqIWq+ZVKnYTsVpt00zG&#10;gGi4exLN20rsSxnLen5Ylx1NoPaEpxfDpn8+va3Kj+WHCkwcyjW4kFcUy/Oq2tF/eMmeJWWfOsqy&#10;54alGAx8P3JDh6W45U+DINaUphvwfjYr3fym54VB7LmBmhcGUeT6lIpJ+9CJ5cqhRHHUx/jrb4v/&#10;4yYpM0lrPUf8Hyq2XS4cFGqR7FCi75+SnHnSH3owLIgeIqIu34n075oV4m6TFOvsl6oSh02WLOEQ&#10;l/5bE+iixlT2ePhDLIGc7Bshq+SEWY9H3sx32Dm9nEfBFHVL9HLP8/yZRVMyL6u6eZuJHaMfCyfL&#10;821ZU3DJPHl6VzeK1NZKBiHy7fJ+m+fygvosu8srhqAXTvOswkCoplVekG0haJYCpBHkSMVHhVPP&#10;H8XyE2KFFsCPjag+O+yAvlo49T/7pMoclv9egKeYBwE1orwIwsjDRWXeeTTvFPvdnYBj3GFJkQIV&#10;PrY/7xrVx2ikMmneFR/L1EwDCkY59p9XDkfqVOncV1lGWsW8kPJkVIO+GlUO3JtGAcqRch76sStz&#10;nszblvNiN4h0y/FpPJvarZPM072qCbMIoExLlAMNrZfa2wdQv9rl0LufJizk7MC4K/Nv2oD5zsZl&#10;GxbGFJlp4VkWvSAgqAMJ414UaEFnAjf6nUHUndEAztQ0GYCJDJtjTBCfjqNko3oHZD4Xmjf8QhFC&#10;e13ZXqWoSd+IRCTqoW0cWBE9A8bgiozbjF02BiVkLEsJzl02RtxkHGl9kMZqkna/wlp4ugpWDsMq&#10;+KgyiiaiqMl7+skOKD/UA9ssHCSdhnfiKXsQ0qCh2EPcxUOl5ONZx9vp/nGb/pp9No09FbteH0oJ&#10;oLjzptoBY0yVGQVgQdlXCkQ6CTfayhw/+lXwtpdRfAwdfPXRYfua5qLO0Dl4JrHb/ZCMS0eOTWuJ&#10;r9wKfZfosXum/sWdo5dOJVq2ygslWhWu7wdxdKLO5sbG416kVgIkuF3zX6TOPJZSFl+UZ49DWaPg&#10;kj7zICJlPccxFXrWC2MKdOz1o5j63I9iyvMQiinP/ShYHLt1IIj7fUGDdjacVP6cGW4ugP4ADjdX&#10;wAGKubkGqpX0nGLaJnQe+QMeWSy7/ZFxk2aPltOe0EyiOR/IFzepDvx+JJNs7g4hmXQjJX0+0Vav&#10;IyCY9gfnmXTDqBfIpNsb8Ag7+OPTBhwy2UaN9HYGGviI0581LA1Hk4FG9UyqkY/euEyq/XDAH5Pp&#10;adAL5JtMR0E/kG8yDaM+j3yTac4HXPJNqqdRP5LF9Ww24JNJttzhnZe2b7E9JIy+yfcQksn3oMT6&#10;JuGGAEDT/2f7xcFtK3iizaXc+tNe5eIel1SVrCGcar9zxVztCx8gj6PMUUcSfdy2mKNYpLm1MR4M&#10;lOtI+bhQSdEIHaI1xne9BX5QhwtXifR0qN0W4jKRpELSmXGhejpUb1yoJCmEDtUYEyoJhzQfl1Vf&#10;h+qPyypJgEQfFypOTZS5Fari/1vejrDG09sRJKrv7Yh2WfTYrjguvx/xmWIYazIIbt8peAhFBIje&#10;Zep3mwDi1g5SGNffkUgO2xktdqxyZEGbY6OQzQn/KrB+w7K8w1EHRSHT2D4sgDxjDKqj6/IqGYFC&#10;UTNaGFJ5gpEFeDLYZfA60XS2BRis9kYSA5VD1Tottn55Rl+N9XuqmkQ1bAujabIHcQorvejq/Son&#10;saoPtK3hN3cVKSgec5R2u4gRNI71HBtQY0rrOnfVQwPr/R9bTGU73nnNAVrFcJOOTeFlqN+HVOfg&#10;UdJ1+cRR9a1VFQJlYGshtytID453W0+wkPV6ZZ2S6AV1fKGoOtHviipwRYZNtKQCmRmdRTVBpr3N&#10;oclnOwYRJ5JRrmORdVoiK2yc5xBMuwFUceDqODgqgTNVZDZMe2YUWSRhg6s875aVq33DaRfdBdsy&#10;gPN8ORrajTNT69DXnG3NFAknZ1u6v09HlSsD8HlhnsadLU7t7e/nVAOfEuQnKXyFkyd3+oshfeYz&#10;r/Hb/K55+wUAAP//AwBQSwMEFAAGAAgAAAAhAIPFaLDeAAAABwEAAA8AAABkcnMvZG93bnJldi54&#10;bWxMj0FLw0AUhO+C/2F5BW92k0ZNSbMppainIrQVxNs2+5qEZt+G7DZJ/73Pkx6HGWa+ydeTbcWA&#10;vW8cKYjnEQik0pmGKgWfx7fHJQgfNBndOkIFN/SwLu7vcp0ZN9Ieh0OoBJeQz7SCOoQuk9KXNVrt&#10;565DYu/seqsDy76Sptcjl9tWLqLoRVrdEC/UusNtjeXlcLUK3kc9bpL4ddhdztvb9/H542sXo1IP&#10;s2mzAhFwCn9h+MVndCiY6eSuZLxoWT+lnFSwiBIQ7C8TvnZSkKYpyCKX//mLHwAAAP//AwBQSwEC&#10;LQAUAAYACAAAACEAtoM4kv4AAADhAQAAEwAAAAAAAAAAAAAAAAAAAAAAW0NvbnRlbnRfVHlwZXNd&#10;LnhtbFBLAQItABQABgAIAAAAIQA4/SH/1gAAAJQBAAALAAAAAAAAAAAAAAAAAC8BAABfcmVscy8u&#10;cmVsc1BLAQItABQABgAIAAAAIQDeGgcY1QYAAB8dAAAOAAAAAAAAAAAAAAAAAC4CAABkcnMvZTJv&#10;RG9jLnhtbFBLAQItABQABgAIAAAAIQCDxWiw3gAAAAcBAAAPAAAAAAAAAAAAAAAAAC8JAABkcnMv&#10;ZG93bnJldi54bWxQSwUGAAAAAAQABADzAAAAOgoAAAAA&#10;">
                            <v:oval id="Oval 23" o:spid="_x0000_s1027" style="position:absolute;left:2172;width:1175;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kchwAAAANoAAAAPAAAAZHJzL2Rvd25yZXYueG1sRE9Na8JA&#10;EL0X/A/LCL3VjT0Um7pKK7S0QqDa4HnIjtlgdjZkpzHtr3cPgsfH+16uR9+qgfrYBDYwn2WgiKtg&#10;G64NlD/vDwtQUZAttoHJwB9FWK8md0vMbTjzjoa91CqFcMzRgBPpcq1j5chjnIWOOHHH0HuUBPta&#10;2x7PKdy3+jHLnrTHhlODw442jqrT/tcbyLb/JUsh5fNh+FoU3wf30RZvxtxPx9cXUEKj3MRX96c1&#10;kLamK+kG6NUFAAD//wMAUEsBAi0AFAAGAAgAAAAhANvh9svuAAAAhQEAABMAAAAAAAAAAAAAAAAA&#10;AAAAAFtDb250ZW50X1R5cGVzXS54bWxQSwECLQAUAAYACAAAACEAWvQsW78AAAAVAQAACwAAAAAA&#10;AAAAAAAAAAAfAQAAX3JlbHMvLnJlbHNQSwECLQAUAAYACAAAACEARn5HIcAAAADaAAAADwAAAAAA&#10;AAAAAAAAAAAHAgAAZHJzL2Rvd25yZXYueG1sUEsFBgAAAAADAAMAtwAAAPQCAAAAAA==&#10;" fillcolor="black [3213]" stroked="f"/>
                            <v:shape id="Freeform 25" o:spid="_x0000_s1028" style="position:absolute;left:1267;top:1539;width:2905;height:1698;visibility:visible;mso-wrap-style:square;v-text-anchor:top" coordsize="1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4vawQAAANsAAAAPAAAAZHJzL2Rvd25yZXYueG1sRE/dasIw&#10;FL4X9g7hCLvT1A1EOmOpg+FuHEz3AIfm2NQ2J6GJtvPpF0HY3fn4fs+6GG0nrtSHxrGCxTwDQVw5&#10;3XCt4Of4MVuBCBFZY+eYFPxSgGLzNFljrt3A33Q9xFqkEA45KjAx+lzKUBmyGObOEyfu5HqLMcG+&#10;lrrHIYXbTr5k2VJabDg1GPT0bqhqDxeroMz2w9bjze268+qrXZrRtX6r1PN0LN9ARBrjv/jh/tRp&#10;/ivcf0kHyM0fAAAA//8DAFBLAQItABQABgAIAAAAIQDb4fbL7gAAAIUBAAATAAAAAAAAAAAAAAAA&#10;AAAAAABbQ29udGVudF9UeXBlc10ueG1sUEsBAi0AFAAGAAgAAAAhAFr0LFu/AAAAFQEAAAsAAAAA&#10;AAAAAAAAAAAAHwEAAF9yZWxzLy5yZWxzUEsBAi0AFAAGAAgAAAAhAF+ri9rBAAAA2wAAAA8AAAAA&#10;AAAAAAAAAAAABwIAAGRycy9kb3ducmV2LnhtbFBLBQYAAAAAAwADALcAAAD1AgAAAAA=&#10;" path="m51,c22,,,26,,59v101,,101,,101,c101,26,79,,51,xe" fillcolor="black [3213]" stroked="f">
                              <v:path arrowok="t" o:connecttype="custom" o:connectlocs="146675,0;0,169863;290475,169863;146675,0" o:connectangles="0,0,0,0"/>
                            </v:shape>
                            <v:shape id="Freeform 27" o:spid="_x0000_s1029" style="position:absolute;top:3349;width:5492;height:2128;visibility:visible;mso-wrap-style:square;v-text-anchor:top" coordsize="1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DqwgAAANsAAAAPAAAAZHJzL2Rvd25yZXYueG1sRE/basJA&#10;EH0v+A/LCH2rG0spMXUVCXiBgmCU9nXITpNodjbNrjH+vSsIvs3hXGc6700tOmpdZVnBeBSBIM6t&#10;rrhQcNgv32IQziNrrC2Tgis5mM8GL1NMtL3wjrrMFyKEsEtQQel9k0jp8pIMupFtiAP3Z1uDPsC2&#10;kLrFSwg3tXyPok9psOLQUGJDaUn5KTsbBdnx//qd2nW02hZp97v9iQ+TY6zU67BffIHw1Pun+OHe&#10;6DD/A+6/hAPk7AYAAP//AwBQSwECLQAUAAYACAAAACEA2+H2y+4AAACFAQAAEwAAAAAAAAAAAAAA&#10;AAAAAAAAW0NvbnRlbnRfVHlwZXNdLnhtbFBLAQItABQABgAIAAAAIQBa9CxbvwAAABUBAAALAAAA&#10;AAAAAAAAAAAAAB8BAABfcmVscy8ucmVsc1BLAQItABQABgAIAAAAIQBmgFDqwgAAANsAAAAPAAAA&#10;AAAAAAAAAAAAAAcCAABkcnMvZG93bnJldi54bWxQSwUGAAAAAAMAAwC3AAAA9gIAAAAA&#10;" path="m191,21c180,17,155,8,147,8v-10,,-55,,-55,c92,8,92,8,92,8,79,8,63,9,49,10v-6,,-10,5,-10,11c40,27,45,31,51,30,64,29,79,29,90,29v7,3,19,8,22,14c112,43,107,46,102,49,79,55,60,54,46,46,26,34,22,10,22,9,22,4,16,,10,,4,1,,6,1,12v,1,5,34,34,52c46,70,59,74,74,74v13,,27,-3,41,-7c131,64,172,57,188,59v1,,2,,3,l191,21xe" fillcolor="black [3213]" stroked="f">
                              <v:path arrowok="t" o:connecttype="custom" o:connectlocs="549204,60368;422686,22997;264538,22997;264538,22997;140895,28747;112141,60368;146646,86240;258787,83365;322046,123610;293292,140858;132269,132234;63259,25872;28754,0;2875,34496;100639,183978;212781,212725;330673,192602;540578,169605;549204,169605;549204,60368" o:connectangles="0,0,0,0,0,0,0,0,0,0,0,0,0,0,0,0,0,0,0,0"/>
                            </v:shape>
                          </v:group>
                        </w:pict>
                      </mc:Fallback>
                    </mc:AlternateContent>
                  </w:r>
                </w:p>
              </w:tc>
              <w:tc>
                <w:tcPr>
                  <w:tcW w:w="1423" w:type="dxa"/>
                  <w:tcBorders>
                    <w:top w:val="nil"/>
                    <w:bottom w:val="nil"/>
                  </w:tcBorders>
                  <w:vAlign w:val="center"/>
                </w:tcPr>
                <w:p w14:paraId="63224746" w14:textId="77777777" w:rsidR="008F265F" w:rsidRDefault="00A542E4">
                  <w:pPr>
                    <w:pStyle w:val="1"/>
                    <w:adjustRightInd w:val="0"/>
                    <w:snapToGrid w:val="0"/>
                    <w:spacing w:beforeLines="50" w:before="156" w:line="360" w:lineRule="exact"/>
                    <w:ind w:firstLineChars="0" w:firstLine="0"/>
                    <w:rPr>
                      <w:rFonts w:ascii="宋体" w:eastAsia="仿宋_GB2312" w:hAnsi="宋体"/>
                      <w:szCs w:val="21"/>
                    </w:rPr>
                  </w:pPr>
                  <w:r>
                    <w:rPr>
                      <w:rFonts w:ascii="宋体" w:eastAsia="仿宋_GB2312" w:hAnsi="宋体" w:hint="eastAsia"/>
                      <w:b/>
                      <w:bCs/>
                      <w:kern w:val="0"/>
                      <w:szCs w:val="18"/>
                      <w:lang w:val="zh-CN"/>
                    </w:rPr>
                    <w:t>重要权益</w:t>
                  </w:r>
                </w:p>
              </w:tc>
              <w:tc>
                <w:tcPr>
                  <w:tcW w:w="7124" w:type="dxa"/>
                  <w:tcBorders>
                    <w:top w:val="nil"/>
                    <w:bottom w:val="nil"/>
                  </w:tcBorders>
                  <w:vAlign w:val="center"/>
                </w:tcPr>
                <w:p w14:paraId="35153082" w14:textId="77777777" w:rsidR="008F265F" w:rsidRDefault="00A542E4">
                  <w:pPr>
                    <w:adjustRightInd w:val="0"/>
                    <w:snapToGrid w:val="0"/>
                    <w:spacing w:beforeLines="50" w:before="156" w:afterLines="50" w:after="156" w:line="360" w:lineRule="exact"/>
                    <w:rPr>
                      <w:rFonts w:ascii="宋体" w:eastAsia="仿宋_GB2312" w:hAnsi="宋体"/>
                      <w:szCs w:val="21"/>
                    </w:rPr>
                  </w:pPr>
                  <w:r>
                    <w:rPr>
                      <w:rFonts w:ascii="宋体" w:eastAsia="仿宋_GB2312" w:hAnsi="宋体" w:hint="eastAsia"/>
                      <w:b/>
                      <w:szCs w:val="21"/>
                    </w:rPr>
                    <w:t>招商仁和仁心保贝</w:t>
                  </w:r>
                  <w:r>
                    <w:rPr>
                      <w:rFonts w:ascii="宋体" w:eastAsia="仿宋_GB2312" w:hAnsi="宋体" w:hint="eastAsia"/>
                      <w:b/>
                      <w:szCs w:val="21"/>
                    </w:rPr>
                    <w:t>3</w:t>
                  </w:r>
                  <w:r>
                    <w:rPr>
                      <w:rFonts w:ascii="宋体" w:eastAsia="仿宋_GB2312" w:hAnsi="宋体" w:hint="eastAsia"/>
                      <w:b/>
                      <w:szCs w:val="21"/>
                    </w:rPr>
                    <w:t>号重大疾病保险</w:t>
                  </w:r>
                  <w:r>
                    <w:rPr>
                      <w:rFonts w:ascii="宋体" w:eastAsia="仿宋_GB2312" w:hAnsi="宋体"/>
                      <w:b/>
                      <w:szCs w:val="21"/>
                    </w:rPr>
                    <w:t>A</w:t>
                  </w:r>
                  <w:r>
                    <w:rPr>
                      <w:rFonts w:ascii="宋体" w:eastAsia="仿宋_GB2312" w:hAnsi="宋体" w:hint="eastAsia"/>
                      <w:b/>
                      <w:szCs w:val="21"/>
                    </w:rPr>
                    <w:t>款（互联网）</w:t>
                  </w:r>
                  <w:r>
                    <w:rPr>
                      <w:rFonts w:ascii="宋体" w:eastAsia="仿宋_GB2312" w:hAnsi="宋体" w:hint="eastAsia"/>
                      <w:b/>
                      <w:bCs/>
                    </w:rPr>
                    <w:t>产品提供基本的轻症疾病、中症疾病、</w:t>
                  </w:r>
                  <w:r>
                    <w:rPr>
                      <w:rFonts w:ascii="宋体" w:eastAsia="仿宋_GB2312" w:hAnsi="宋体"/>
                      <w:b/>
                      <w:bCs/>
                    </w:rPr>
                    <w:t>重大疾病</w:t>
                  </w:r>
                  <w:r>
                    <w:rPr>
                      <w:rFonts w:ascii="宋体" w:eastAsia="仿宋_GB2312" w:hAnsi="宋体" w:hint="eastAsia"/>
                      <w:b/>
                      <w:bCs/>
                    </w:rPr>
                    <w:t>、少儿特定疾病关爱、少儿罕见疾病关爱</w:t>
                  </w:r>
                  <w:r>
                    <w:rPr>
                      <w:rFonts w:ascii="宋体" w:eastAsia="仿宋_GB2312" w:hAnsi="宋体"/>
                      <w:b/>
                      <w:bCs/>
                    </w:rPr>
                    <w:t>、身故或全残</w:t>
                  </w:r>
                  <w:r>
                    <w:rPr>
                      <w:rFonts w:ascii="宋体" w:eastAsia="仿宋_GB2312" w:hAnsi="宋体" w:hint="eastAsia"/>
                      <w:b/>
                      <w:bCs/>
                    </w:rPr>
                    <w:t>、豁免保险费保障，可选的疾病关爱、</w:t>
                  </w:r>
                  <w:r>
                    <w:rPr>
                      <w:rFonts w:ascii="宋体" w:eastAsia="仿宋_GB2312" w:hAnsi="宋体"/>
                      <w:b/>
                      <w:bCs/>
                    </w:rPr>
                    <w:t>多</w:t>
                  </w:r>
                  <w:r>
                    <w:rPr>
                      <w:rFonts w:ascii="宋体" w:eastAsia="仿宋_GB2312" w:hAnsi="宋体" w:hint="eastAsia"/>
                      <w:b/>
                      <w:bCs/>
                    </w:rPr>
                    <w:t>次重大疾病、“恶性肿瘤——重度”关爱、重症监护病房补贴保障</w:t>
                  </w:r>
                  <w:r>
                    <w:rPr>
                      <w:rFonts w:ascii="宋体" w:eastAsia="仿宋_GB2312" w:hAnsi="宋体" w:hint="eastAsia"/>
                      <w:b/>
                      <w:szCs w:val="21"/>
                    </w:rPr>
                    <w:t>。</w:t>
                  </w:r>
                </w:p>
              </w:tc>
            </w:tr>
            <w:tr w:rsidR="008F265F" w14:paraId="4CA1CAB2" w14:textId="77777777">
              <w:trPr>
                <w:trHeight w:val="3158"/>
              </w:trPr>
              <w:tc>
                <w:tcPr>
                  <w:tcW w:w="1153" w:type="dxa"/>
                  <w:tcBorders>
                    <w:bottom w:val="nil"/>
                  </w:tcBorders>
                </w:tcPr>
                <w:p w14:paraId="6076FD46" w14:textId="77777777" w:rsidR="008F265F" w:rsidRDefault="00A542E4">
                  <w:pPr>
                    <w:pStyle w:val="1"/>
                    <w:adjustRightInd w:val="0"/>
                    <w:snapToGrid w:val="0"/>
                    <w:spacing w:line="360" w:lineRule="exact"/>
                    <w:ind w:firstLineChars="0" w:firstLine="0"/>
                    <w:rPr>
                      <w:rFonts w:ascii="宋体" w:eastAsia="仿宋_GB2312" w:hAnsi="宋体"/>
                      <w:szCs w:val="21"/>
                    </w:rPr>
                  </w:pPr>
                  <w:r>
                    <w:rPr>
                      <w:rFonts w:ascii="宋体" w:eastAsia="仿宋_GB2312" w:hAnsi="宋体" w:hint="eastAsia"/>
                      <w:b/>
                      <w:bCs/>
                      <w:noProof/>
                      <w:szCs w:val="21"/>
                    </w:rPr>
                    <mc:AlternateContent>
                      <mc:Choice Requires="wpg">
                        <w:drawing>
                          <wp:anchor distT="0" distB="0" distL="114300" distR="114300" simplePos="0" relativeHeight="251661312" behindDoc="0" locked="0" layoutInCell="1" allowOverlap="1" wp14:anchorId="3DD59F7E" wp14:editId="4754783E">
                            <wp:simplePos x="0" y="0"/>
                            <wp:positionH relativeFrom="column">
                              <wp:posOffset>134620</wp:posOffset>
                            </wp:positionH>
                            <wp:positionV relativeFrom="paragraph">
                              <wp:posOffset>770890</wp:posOffset>
                            </wp:positionV>
                            <wp:extent cx="400050" cy="471170"/>
                            <wp:effectExtent l="0" t="0" r="635" b="5715"/>
                            <wp:wrapNone/>
                            <wp:docPr id="20" name="组合 20"/>
                            <wp:cNvGraphicFramePr/>
                            <a:graphic xmlns:a="http://schemas.openxmlformats.org/drawingml/2006/main">
                              <a:graphicData uri="http://schemas.microsoft.com/office/word/2010/wordprocessingGroup">
                                <wpg:wgp>
                                  <wpg:cNvGrpSpPr/>
                                  <wpg:grpSpPr>
                                    <a:xfrm>
                                      <a:off x="0" y="0"/>
                                      <a:ext cx="400034" cy="470865"/>
                                      <a:chOff x="0" y="0"/>
                                      <a:chExt cx="452379" cy="546361"/>
                                    </a:xfrm>
                                  </wpg:grpSpPr>
                                  <wps:wsp>
                                    <wps:cNvPr id="57" name="Freeform 57"/>
                                    <wps:cNvSpPr>
                                      <a:spLocks noEditPoints="1"/>
                                    </wps:cNvSpPr>
                                    <wps:spPr bwMode="auto">
                                      <a:xfrm>
                                        <a:off x="69448" y="179407"/>
                                        <a:ext cx="309522" cy="296863"/>
                                      </a:xfrm>
                                      <a:custGeom>
                                        <a:avLst/>
                                        <a:gdLst>
                                          <a:gd name="T0" fmla="*/ 109 w 109"/>
                                          <a:gd name="T1" fmla="*/ 0 h 104"/>
                                          <a:gd name="T2" fmla="*/ 0 w 109"/>
                                          <a:gd name="T3" fmla="*/ 0 h 104"/>
                                          <a:gd name="T4" fmla="*/ 0 w 109"/>
                                          <a:gd name="T5" fmla="*/ 104 h 104"/>
                                          <a:gd name="T6" fmla="*/ 109 w 109"/>
                                          <a:gd name="T7" fmla="*/ 104 h 104"/>
                                          <a:gd name="T8" fmla="*/ 109 w 109"/>
                                          <a:gd name="T9" fmla="*/ 0 h 104"/>
                                          <a:gd name="T10" fmla="*/ 8 w 109"/>
                                          <a:gd name="T11" fmla="*/ 27 h 104"/>
                                          <a:gd name="T12" fmla="*/ 14 w 109"/>
                                          <a:gd name="T13" fmla="*/ 27 h 104"/>
                                          <a:gd name="T14" fmla="*/ 22 w 109"/>
                                          <a:gd name="T15" fmla="*/ 35 h 104"/>
                                          <a:gd name="T16" fmla="*/ 46 w 109"/>
                                          <a:gd name="T17" fmla="*/ 11 h 104"/>
                                          <a:gd name="T18" fmla="*/ 51 w 109"/>
                                          <a:gd name="T19" fmla="*/ 11 h 104"/>
                                          <a:gd name="T20" fmla="*/ 51 w 109"/>
                                          <a:gd name="T21" fmla="*/ 17 h 104"/>
                                          <a:gd name="T22" fmla="*/ 22 w 109"/>
                                          <a:gd name="T23" fmla="*/ 46 h 104"/>
                                          <a:gd name="T24" fmla="*/ 8 w 109"/>
                                          <a:gd name="T25" fmla="*/ 33 h 104"/>
                                          <a:gd name="T26" fmla="*/ 8 w 109"/>
                                          <a:gd name="T27" fmla="*/ 27 h 104"/>
                                          <a:gd name="T28" fmla="*/ 8 w 109"/>
                                          <a:gd name="T29" fmla="*/ 75 h 104"/>
                                          <a:gd name="T30" fmla="*/ 8 w 109"/>
                                          <a:gd name="T31" fmla="*/ 69 h 104"/>
                                          <a:gd name="T32" fmla="*/ 14 w 109"/>
                                          <a:gd name="T33" fmla="*/ 69 h 104"/>
                                          <a:gd name="T34" fmla="*/ 22 w 109"/>
                                          <a:gd name="T35" fmla="*/ 77 h 104"/>
                                          <a:gd name="T36" fmla="*/ 46 w 109"/>
                                          <a:gd name="T37" fmla="*/ 54 h 104"/>
                                          <a:gd name="T38" fmla="*/ 51 w 109"/>
                                          <a:gd name="T39" fmla="*/ 54 h 104"/>
                                          <a:gd name="T40" fmla="*/ 51 w 109"/>
                                          <a:gd name="T41" fmla="*/ 59 h 104"/>
                                          <a:gd name="T42" fmla="*/ 22 w 109"/>
                                          <a:gd name="T43" fmla="*/ 88 h 104"/>
                                          <a:gd name="T44" fmla="*/ 8 w 109"/>
                                          <a:gd name="T45" fmla="*/ 75 h 104"/>
                                          <a:gd name="T46" fmla="*/ 93 w 109"/>
                                          <a:gd name="T47" fmla="*/ 77 h 104"/>
                                          <a:gd name="T48" fmla="*/ 55 w 109"/>
                                          <a:gd name="T49" fmla="*/ 77 h 104"/>
                                          <a:gd name="T50" fmla="*/ 51 w 109"/>
                                          <a:gd name="T51" fmla="*/ 73 h 104"/>
                                          <a:gd name="T52" fmla="*/ 55 w 109"/>
                                          <a:gd name="T53" fmla="*/ 69 h 104"/>
                                          <a:gd name="T54" fmla="*/ 93 w 109"/>
                                          <a:gd name="T55" fmla="*/ 69 h 104"/>
                                          <a:gd name="T56" fmla="*/ 97 w 109"/>
                                          <a:gd name="T57" fmla="*/ 73 h 104"/>
                                          <a:gd name="T58" fmla="*/ 93 w 109"/>
                                          <a:gd name="T59" fmla="*/ 77 h 104"/>
                                          <a:gd name="T60" fmla="*/ 93 w 109"/>
                                          <a:gd name="T61" fmla="*/ 38 h 104"/>
                                          <a:gd name="T62" fmla="*/ 55 w 109"/>
                                          <a:gd name="T63" fmla="*/ 38 h 104"/>
                                          <a:gd name="T64" fmla="*/ 51 w 109"/>
                                          <a:gd name="T65" fmla="*/ 34 h 104"/>
                                          <a:gd name="T66" fmla="*/ 55 w 109"/>
                                          <a:gd name="T67" fmla="*/ 30 h 104"/>
                                          <a:gd name="T68" fmla="*/ 93 w 109"/>
                                          <a:gd name="T69" fmla="*/ 30 h 104"/>
                                          <a:gd name="T70" fmla="*/ 97 w 109"/>
                                          <a:gd name="T71" fmla="*/ 34 h 104"/>
                                          <a:gd name="T72" fmla="*/ 93 w 109"/>
                                          <a:gd name="T73"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9" h="104">
                                            <a:moveTo>
                                              <a:pt x="109" y="0"/>
                                            </a:moveTo>
                                            <a:cubicBezTo>
                                              <a:pt x="0" y="0"/>
                                              <a:pt x="0" y="0"/>
                                              <a:pt x="0" y="0"/>
                                            </a:cubicBezTo>
                                            <a:cubicBezTo>
                                              <a:pt x="0" y="104"/>
                                              <a:pt x="0" y="104"/>
                                              <a:pt x="0" y="104"/>
                                            </a:cubicBezTo>
                                            <a:cubicBezTo>
                                              <a:pt x="109" y="104"/>
                                              <a:pt x="109" y="104"/>
                                              <a:pt x="109" y="104"/>
                                            </a:cubicBezTo>
                                            <a:lnTo>
                                              <a:pt x="109" y="0"/>
                                            </a:lnTo>
                                            <a:close/>
                                            <a:moveTo>
                                              <a:pt x="8" y="27"/>
                                            </a:moveTo>
                                            <a:cubicBezTo>
                                              <a:pt x="10" y="26"/>
                                              <a:pt x="12" y="26"/>
                                              <a:pt x="14" y="27"/>
                                            </a:cubicBezTo>
                                            <a:cubicBezTo>
                                              <a:pt x="22" y="35"/>
                                              <a:pt x="22" y="35"/>
                                              <a:pt x="22" y="35"/>
                                            </a:cubicBezTo>
                                            <a:cubicBezTo>
                                              <a:pt x="46" y="11"/>
                                              <a:pt x="46" y="11"/>
                                              <a:pt x="46" y="11"/>
                                            </a:cubicBezTo>
                                            <a:cubicBezTo>
                                              <a:pt x="47" y="10"/>
                                              <a:pt x="50" y="10"/>
                                              <a:pt x="51" y="11"/>
                                            </a:cubicBezTo>
                                            <a:cubicBezTo>
                                              <a:pt x="53" y="13"/>
                                              <a:pt x="53" y="16"/>
                                              <a:pt x="51" y="17"/>
                                            </a:cubicBezTo>
                                            <a:cubicBezTo>
                                              <a:pt x="22" y="46"/>
                                              <a:pt x="22" y="46"/>
                                              <a:pt x="22" y="46"/>
                                            </a:cubicBezTo>
                                            <a:cubicBezTo>
                                              <a:pt x="8" y="33"/>
                                              <a:pt x="8" y="33"/>
                                              <a:pt x="8" y="33"/>
                                            </a:cubicBezTo>
                                            <a:cubicBezTo>
                                              <a:pt x="7" y="31"/>
                                              <a:pt x="7" y="29"/>
                                              <a:pt x="8" y="27"/>
                                            </a:cubicBezTo>
                                            <a:close/>
                                            <a:moveTo>
                                              <a:pt x="8" y="75"/>
                                            </a:moveTo>
                                            <a:cubicBezTo>
                                              <a:pt x="7" y="73"/>
                                              <a:pt x="7" y="71"/>
                                              <a:pt x="8" y="69"/>
                                            </a:cubicBezTo>
                                            <a:cubicBezTo>
                                              <a:pt x="10" y="68"/>
                                              <a:pt x="12" y="68"/>
                                              <a:pt x="14" y="69"/>
                                            </a:cubicBezTo>
                                            <a:cubicBezTo>
                                              <a:pt x="22" y="77"/>
                                              <a:pt x="22" y="77"/>
                                              <a:pt x="22" y="77"/>
                                            </a:cubicBezTo>
                                            <a:cubicBezTo>
                                              <a:pt x="46" y="54"/>
                                              <a:pt x="46" y="54"/>
                                              <a:pt x="46" y="54"/>
                                            </a:cubicBezTo>
                                            <a:cubicBezTo>
                                              <a:pt x="47" y="52"/>
                                              <a:pt x="50" y="52"/>
                                              <a:pt x="51" y="54"/>
                                            </a:cubicBezTo>
                                            <a:cubicBezTo>
                                              <a:pt x="53" y="55"/>
                                              <a:pt x="53" y="58"/>
                                              <a:pt x="51" y="59"/>
                                            </a:cubicBezTo>
                                            <a:cubicBezTo>
                                              <a:pt x="22" y="88"/>
                                              <a:pt x="22" y="88"/>
                                              <a:pt x="22" y="88"/>
                                            </a:cubicBezTo>
                                            <a:lnTo>
                                              <a:pt x="8" y="75"/>
                                            </a:lnTo>
                                            <a:close/>
                                            <a:moveTo>
                                              <a:pt x="93" y="77"/>
                                            </a:moveTo>
                                            <a:cubicBezTo>
                                              <a:pt x="55" y="77"/>
                                              <a:pt x="55" y="77"/>
                                              <a:pt x="55" y="77"/>
                                            </a:cubicBezTo>
                                            <a:cubicBezTo>
                                              <a:pt x="52" y="77"/>
                                              <a:pt x="51" y="75"/>
                                              <a:pt x="51" y="73"/>
                                            </a:cubicBezTo>
                                            <a:cubicBezTo>
                                              <a:pt x="51" y="71"/>
                                              <a:pt x="52" y="69"/>
                                              <a:pt x="55" y="69"/>
                                            </a:cubicBezTo>
                                            <a:cubicBezTo>
                                              <a:pt x="93" y="69"/>
                                              <a:pt x="93" y="69"/>
                                              <a:pt x="93" y="69"/>
                                            </a:cubicBezTo>
                                            <a:cubicBezTo>
                                              <a:pt x="95" y="69"/>
                                              <a:pt x="97" y="71"/>
                                              <a:pt x="97" y="73"/>
                                            </a:cubicBezTo>
                                            <a:cubicBezTo>
                                              <a:pt x="97" y="75"/>
                                              <a:pt x="95" y="77"/>
                                              <a:pt x="93" y="77"/>
                                            </a:cubicBezTo>
                                            <a:close/>
                                            <a:moveTo>
                                              <a:pt x="93" y="38"/>
                                            </a:moveTo>
                                            <a:cubicBezTo>
                                              <a:pt x="55" y="38"/>
                                              <a:pt x="55" y="38"/>
                                              <a:pt x="55" y="38"/>
                                            </a:cubicBezTo>
                                            <a:cubicBezTo>
                                              <a:pt x="52" y="38"/>
                                              <a:pt x="51" y="36"/>
                                              <a:pt x="51" y="34"/>
                                            </a:cubicBezTo>
                                            <a:cubicBezTo>
                                              <a:pt x="51" y="32"/>
                                              <a:pt x="52" y="30"/>
                                              <a:pt x="55" y="30"/>
                                            </a:cubicBezTo>
                                            <a:cubicBezTo>
                                              <a:pt x="93" y="30"/>
                                              <a:pt x="93" y="30"/>
                                              <a:pt x="93" y="30"/>
                                            </a:cubicBezTo>
                                            <a:cubicBezTo>
                                              <a:pt x="95" y="30"/>
                                              <a:pt x="97" y="32"/>
                                              <a:pt x="97" y="34"/>
                                            </a:cubicBezTo>
                                            <a:cubicBezTo>
                                              <a:pt x="97" y="36"/>
                                              <a:pt x="95" y="38"/>
                                              <a:pt x="93" y="38"/>
                                            </a:cubicBezTo>
                                            <a:close/>
                                          </a:path>
                                        </a:pathLst>
                                      </a:custGeom>
                                      <a:solidFill>
                                        <a:schemeClr val="tx1"/>
                                      </a:solidFill>
                                      <a:ln>
                                        <a:noFill/>
                                      </a:ln>
                                    </wps:spPr>
                                    <wps:bodyPr vert="horz" wrap="square" lIns="91440" tIns="45720" rIns="91440" bIns="45720" numCol="1" anchor="t" anchorCtr="0" compatLnSpc="1"/>
                                  </wps:wsp>
                                  <wps:wsp>
                                    <wps:cNvPr id="58" name="Freeform 58"/>
                                    <wps:cNvSpPr/>
                                    <wps:spPr bwMode="auto">
                                      <a:xfrm>
                                        <a:off x="324091" y="0"/>
                                        <a:ext cx="22222" cy="47625"/>
                                      </a:xfrm>
                                      <a:custGeom>
                                        <a:avLst/>
                                        <a:gdLst>
                                          <a:gd name="T0" fmla="*/ 8 w 8"/>
                                          <a:gd name="T1" fmla="*/ 4 h 17"/>
                                          <a:gd name="T2" fmla="*/ 4 w 8"/>
                                          <a:gd name="T3" fmla="*/ 0 h 17"/>
                                          <a:gd name="T4" fmla="*/ 0 w 8"/>
                                          <a:gd name="T5" fmla="*/ 4 h 17"/>
                                          <a:gd name="T6" fmla="*/ 0 w 8"/>
                                          <a:gd name="T7" fmla="*/ 17 h 17"/>
                                          <a:gd name="T8" fmla="*/ 8 w 8"/>
                                          <a:gd name="T9" fmla="*/ 17 h 17"/>
                                          <a:gd name="T10" fmla="*/ 8 w 8"/>
                                          <a:gd name="T11" fmla="*/ 4 h 17"/>
                                        </a:gdLst>
                                        <a:ahLst/>
                                        <a:cxnLst>
                                          <a:cxn ang="0">
                                            <a:pos x="T0" y="T1"/>
                                          </a:cxn>
                                          <a:cxn ang="0">
                                            <a:pos x="T2" y="T3"/>
                                          </a:cxn>
                                          <a:cxn ang="0">
                                            <a:pos x="T4" y="T5"/>
                                          </a:cxn>
                                          <a:cxn ang="0">
                                            <a:pos x="T6" y="T7"/>
                                          </a:cxn>
                                          <a:cxn ang="0">
                                            <a:pos x="T8" y="T9"/>
                                          </a:cxn>
                                          <a:cxn ang="0">
                                            <a:pos x="T10" y="T11"/>
                                          </a:cxn>
                                        </a:cxnLst>
                                        <a:rect l="0" t="0" r="r" b="b"/>
                                        <a:pathLst>
                                          <a:path w="8" h="17">
                                            <a:moveTo>
                                              <a:pt x="8" y="4"/>
                                            </a:moveTo>
                                            <a:cubicBezTo>
                                              <a:pt x="8" y="2"/>
                                              <a:pt x="6" y="0"/>
                                              <a:pt x="4" y="0"/>
                                            </a:cubicBezTo>
                                            <a:cubicBezTo>
                                              <a:pt x="2" y="0"/>
                                              <a:pt x="0" y="2"/>
                                              <a:pt x="0" y="4"/>
                                            </a:cubicBezTo>
                                            <a:cubicBezTo>
                                              <a:pt x="0" y="17"/>
                                              <a:pt x="0" y="17"/>
                                              <a:pt x="0" y="17"/>
                                            </a:cubicBezTo>
                                            <a:cubicBezTo>
                                              <a:pt x="8" y="17"/>
                                              <a:pt x="8" y="17"/>
                                              <a:pt x="8" y="17"/>
                                            </a:cubicBezTo>
                                            <a:lnTo>
                                              <a:pt x="8" y="4"/>
                                            </a:lnTo>
                                            <a:close/>
                                          </a:path>
                                        </a:pathLst>
                                      </a:custGeom>
                                      <a:solidFill>
                                        <a:schemeClr val="tx1"/>
                                      </a:solidFill>
                                      <a:ln>
                                        <a:noFill/>
                                      </a:ln>
                                    </wps:spPr>
                                    <wps:bodyPr vert="horz" wrap="square" lIns="91440" tIns="45720" rIns="91440" bIns="45720" numCol="1" anchor="t" anchorCtr="0" compatLnSpc="1"/>
                                  </wps:wsp>
                                  <wps:wsp>
                                    <wps:cNvPr id="59" name="Freeform 59"/>
                                    <wps:cNvSpPr>
                                      <a:spLocks noEditPoints="1"/>
                                    </wps:cNvSpPr>
                                    <wps:spPr bwMode="auto">
                                      <a:xfrm>
                                        <a:off x="0" y="46298"/>
                                        <a:ext cx="452379" cy="500063"/>
                                      </a:xfrm>
                                      <a:custGeom>
                                        <a:avLst/>
                                        <a:gdLst>
                                          <a:gd name="T0" fmla="*/ 146 w 159"/>
                                          <a:gd name="T1" fmla="*/ 0 h 175"/>
                                          <a:gd name="T2" fmla="*/ 123 w 159"/>
                                          <a:gd name="T3" fmla="*/ 0 h 175"/>
                                          <a:gd name="T4" fmla="*/ 123 w 159"/>
                                          <a:gd name="T5" fmla="*/ 17 h 175"/>
                                          <a:gd name="T6" fmla="*/ 119 w 159"/>
                                          <a:gd name="T7" fmla="*/ 21 h 175"/>
                                          <a:gd name="T8" fmla="*/ 115 w 159"/>
                                          <a:gd name="T9" fmla="*/ 17 h 175"/>
                                          <a:gd name="T10" fmla="*/ 115 w 159"/>
                                          <a:gd name="T11" fmla="*/ 0 h 175"/>
                                          <a:gd name="T12" fmla="*/ 44 w 159"/>
                                          <a:gd name="T13" fmla="*/ 0 h 175"/>
                                          <a:gd name="T14" fmla="*/ 44 w 159"/>
                                          <a:gd name="T15" fmla="*/ 17 h 175"/>
                                          <a:gd name="T16" fmla="*/ 40 w 159"/>
                                          <a:gd name="T17" fmla="*/ 21 h 175"/>
                                          <a:gd name="T18" fmla="*/ 36 w 159"/>
                                          <a:gd name="T19" fmla="*/ 17 h 175"/>
                                          <a:gd name="T20" fmla="*/ 36 w 159"/>
                                          <a:gd name="T21" fmla="*/ 0 h 175"/>
                                          <a:gd name="T22" fmla="*/ 14 w 159"/>
                                          <a:gd name="T23" fmla="*/ 0 h 175"/>
                                          <a:gd name="T24" fmla="*/ 0 w 159"/>
                                          <a:gd name="T25" fmla="*/ 13 h 175"/>
                                          <a:gd name="T26" fmla="*/ 0 w 159"/>
                                          <a:gd name="T27" fmla="*/ 162 h 175"/>
                                          <a:gd name="T28" fmla="*/ 14 w 159"/>
                                          <a:gd name="T29" fmla="*/ 175 h 175"/>
                                          <a:gd name="T30" fmla="*/ 146 w 159"/>
                                          <a:gd name="T31" fmla="*/ 175 h 175"/>
                                          <a:gd name="T32" fmla="*/ 159 w 159"/>
                                          <a:gd name="T33" fmla="*/ 162 h 175"/>
                                          <a:gd name="T34" fmla="*/ 159 w 159"/>
                                          <a:gd name="T35" fmla="*/ 13 h 175"/>
                                          <a:gd name="T36" fmla="*/ 146 w 159"/>
                                          <a:gd name="T37" fmla="*/ 0 h 175"/>
                                          <a:gd name="T38" fmla="*/ 142 w 159"/>
                                          <a:gd name="T39" fmla="*/ 160 h 175"/>
                                          <a:gd name="T40" fmla="*/ 17 w 159"/>
                                          <a:gd name="T41" fmla="*/ 160 h 175"/>
                                          <a:gd name="T42" fmla="*/ 17 w 159"/>
                                          <a:gd name="T43" fmla="*/ 40 h 175"/>
                                          <a:gd name="T44" fmla="*/ 142 w 159"/>
                                          <a:gd name="T45" fmla="*/ 40 h 175"/>
                                          <a:gd name="T46" fmla="*/ 142 w 159"/>
                                          <a:gd name="T47" fmla="*/ 16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 h="175">
                                            <a:moveTo>
                                              <a:pt x="146" y="0"/>
                                            </a:moveTo>
                                            <a:cubicBezTo>
                                              <a:pt x="123" y="0"/>
                                              <a:pt x="123" y="0"/>
                                              <a:pt x="123" y="0"/>
                                            </a:cubicBezTo>
                                            <a:cubicBezTo>
                                              <a:pt x="123" y="17"/>
                                              <a:pt x="123" y="17"/>
                                              <a:pt x="123" y="17"/>
                                            </a:cubicBezTo>
                                            <a:cubicBezTo>
                                              <a:pt x="123" y="19"/>
                                              <a:pt x="121" y="21"/>
                                              <a:pt x="119" y="21"/>
                                            </a:cubicBezTo>
                                            <a:cubicBezTo>
                                              <a:pt x="117" y="21"/>
                                              <a:pt x="115" y="19"/>
                                              <a:pt x="115" y="17"/>
                                            </a:cubicBezTo>
                                            <a:cubicBezTo>
                                              <a:pt x="115" y="0"/>
                                              <a:pt x="115" y="0"/>
                                              <a:pt x="115" y="0"/>
                                            </a:cubicBezTo>
                                            <a:cubicBezTo>
                                              <a:pt x="44" y="0"/>
                                              <a:pt x="44" y="0"/>
                                              <a:pt x="44" y="0"/>
                                            </a:cubicBezTo>
                                            <a:cubicBezTo>
                                              <a:pt x="44" y="17"/>
                                              <a:pt x="44" y="17"/>
                                              <a:pt x="44" y="17"/>
                                            </a:cubicBezTo>
                                            <a:cubicBezTo>
                                              <a:pt x="44" y="19"/>
                                              <a:pt x="42" y="21"/>
                                              <a:pt x="40" y="21"/>
                                            </a:cubicBezTo>
                                            <a:cubicBezTo>
                                              <a:pt x="38" y="21"/>
                                              <a:pt x="36" y="19"/>
                                              <a:pt x="36" y="17"/>
                                            </a:cubicBezTo>
                                            <a:cubicBezTo>
                                              <a:pt x="36" y="0"/>
                                              <a:pt x="36" y="0"/>
                                              <a:pt x="36" y="0"/>
                                            </a:cubicBezTo>
                                            <a:cubicBezTo>
                                              <a:pt x="14" y="0"/>
                                              <a:pt x="14" y="0"/>
                                              <a:pt x="14" y="0"/>
                                            </a:cubicBezTo>
                                            <a:cubicBezTo>
                                              <a:pt x="6" y="0"/>
                                              <a:pt x="0" y="6"/>
                                              <a:pt x="0" y="13"/>
                                            </a:cubicBezTo>
                                            <a:cubicBezTo>
                                              <a:pt x="0" y="162"/>
                                              <a:pt x="0" y="162"/>
                                              <a:pt x="0" y="162"/>
                                            </a:cubicBezTo>
                                            <a:cubicBezTo>
                                              <a:pt x="0" y="169"/>
                                              <a:pt x="6" y="175"/>
                                              <a:pt x="14" y="175"/>
                                            </a:cubicBezTo>
                                            <a:cubicBezTo>
                                              <a:pt x="146" y="175"/>
                                              <a:pt x="146" y="175"/>
                                              <a:pt x="146" y="175"/>
                                            </a:cubicBezTo>
                                            <a:cubicBezTo>
                                              <a:pt x="153" y="175"/>
                                              <a:pt x="159" y="169"/>
                                              <a:pt x="159" y="162"/>
                                            </a:cubicBezTo>
                                            <a:cubicBezTo>
                                              <a:pt x="159" y="13"/>
                                              <a:pt x="159" y="13"/>
                                              <a:pt x="159" y="13"/>
                                            </a:cubicBezTo>
                                            <a:cubicBezTo>
                                              <a:pt x="159" y="6"/>
                                              <a:pt x="153" y="0"/>
                                              <a:pt x="146" y="0"/>
                                            </a:cubicBezTo>
                                            <a:close/>
                                            <a:moveTo>
                                              <a:pt x="142" y="160"/>
                                            </a:moveTo>
                                            <a:cubicBezTo>
                                              <a:pt x="17" y="160"/>
                                              <a:pt x="17" y="160"/>
                                              <a:pt x="17" y="160"/>
                                            </a:cubicBezTo>
                                            <a:cubicBezTo>
                                              <a:pt x="17" y="40"/>
                                              <a:pt x="17" y="40"/>
                                              <a:pt x="17" y="40"/>
                                            </a:cubicBezTo>
                                            <a:cubicBezTo>
                                              <a:pt x="142" y="40"/>
                                              <a:pt x="142" y="40"/>
                                              <a:pt x="142" y="40"/>
                                            </a:cubicBezTo>
                                            <a:lnTo>
                                              <a:pt x="142" y="160"/>
                                            </a:lnTo>
                                            <a:close/>
                                          </a:path>
                                        </a:pathLst>
                                      </a:custGeom>
                                      <a:solidFill>
                                        <a:schemeClr val="tx1"/>
                                      </a:solidFill>
                                      <a:ln>
                                        <a:noFill/>
                                      </a:ln>
                                    </wps:spPr>
                                    <wps:bodyPr vert="horz" wrap="square" lIns="91440" tIns="45720" rIns="91440" bIns="45720" numCol="1" anchor="t" anchorCtr="0" compatLnSpc="1"/>
                                  </wps:wsp>
                                  <wps:wsp>
                                    <wps:cNvPr id="60" name="Freeform 60"/>
                                    <wps:cNvSpPr/>
                                    <wps:spPr bwMode="auto">
                                      <a:xfrm>
                                        <a:off x="98385" y="0"/>
                                        <a:ext cx="23809" cy="47625"/>
                                      </a:xfrm>
                                      <a:custGeom>
                                        <a:avLst/>
                                        <a:gdLst>
                                          <a:gd name="T0" fmla="*/ 8 w 8"/>
                                          <a:gd name="T1" fmla="*/ 4 h 17"/>
                                          <a:gd name="T2" fmla="*/ 4 w 8"/>
                                          <a:gd name="T3" fmla="*/ 0 h 17"/>
                                          <a:gd name="T4" fmla="*/ 0 w 8"/>
                                          <a:gd name="T5" fmla="*/ 4 h 17"/>
                                          <a:gd name="T6" fmla="*/ 0 w 8"/>
                                          <a:gd name="T7" fmla="*/ 17 h 17"/>
                                          <a:gd name="T8" fmla="*/ 8 w 8"/>
                                          <a:gd name="T9" fmla="*/ 17 h 17"/>
                                          <a:gd name="T10" fmla="*/ 8 w 8"/>
                                          <a:gd name="T11" fmla="*/ 4 h 17"/>
                                        </a:gdLst>
                                        <a:ahLst/>
                                        <a:cxnLst>
                                          <a:cxn ang="0">
                                            <a:pos x="T0" y="T1"/>
                                          </a:cxn>
                                          <a:cxn ang="0">
                                            <a:pos x="T2" y="T3"/>
                                          </a:cxn>
                                          <a:cxn ang="0">
                                            <a:pos x="T4" y="T5"/>
                                          </a:cxn>
                                          <a:cxn ang="0">
                                            <a:pos x="T6" y="T7"/>
                                          </a:cxn>
                                          <a:cxn ang="0">
                                            <a:pos x="T8" y="T9"/>
                                          </a:cxn>
                                          <a:cxn ang="0">
                                            <a:pos x="T10" y="T11"/>
                                          </a:cxn>
                                        </a:cxnLst>
                                        <a:rect l="0" t="0" r="r" b="b"/>
                                        <a:pathLst>
                                          <a:path w="8" h="17">
                                            <a:moveTo>
                                              <a:pt x="8" y="4"/>
                                            </a:moveTo>
                                            <a:cubicBezTo>
                                              <a:pt x="8" y="2"/>
                                              <a:pt x="6" y="0"/>
                                              <a:pt x="4" y="0"/>
                                            </a:cubicBezTo>
                                            <a:cubicBezTo>
                                              <a:pt x="2" y="0"/>
                                              <a:pt x="0" y="2"/>
                                              <a:pt x="0" y="4"/>
                                            </a:cubicBezTo>
                                            <a:cubicBezTo>
                                              <a:pt x="0" y="17"/>
                                              <a:pt x="0" y="17"/>
                                              <a:pt x="0" y="17"/>
                                            </a:cubicBezTo>
                                            <a:cubicBezTo>
                                              <a:pt x="8" y="17"/>
                                              <a:pt x="8" y="17"/>
                                              <a:pt x="8" y="17"/>
                                            </a:cubicBezTo>
                                            <a:lnTo>
                                              <a:pt x="8" y="4"/>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C681ADB" id="组合 20" o:spid="_x0000_s1026" style="position:absolute;left:0;text-align:left;margin-left:10.6pt;margin-top:60.7pt;width:31.5pt;height:37.1pt;z-index:251661312" coordsize="4523,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IZjwsAALNGAAAOAAAAZHJzL2Uyb0RvYy54bWzsXG2P28gN/l6g/0HwxwKNrVe/IJsDmrsE&#10;BdI2QLY/QCtr10Zty5W88eZ+fcnhjExKojWbXFu08H3YW9PUI/IZzpAzw+zbn172u+BrWTfb6nA3&#10;Cd/MJkF5KKr19vB0N/n7/Yc/LiZBc8oP63xXHcq7ybeymfz07ve/e3s+rsqo2lS7dVkHAHJoVufj&#10;3WRzOh1X02lTbMp93rypjuUBvnys6n1+go/103Rd52dA3++m0WyWTc9VvT7WVVE2DUh/pi8n7wz+&#10;42NZnP72+NiUp2B3NwHbTuZnbX4+4M/pu7f56qnOj5ttYc3Iv8OKfb49wEtbqJ/zUx4819se1H5b&#10;1FVTPZ7eFNV+Wj0+bovS+ADehLOONx/r6vlofHlanZ+OLU1AbYen74Yt/vr1Y338cvxcAxPn4xNw&#10;YT6hLy+P9R7/D1YGL4ayby1l5cspKECYzGazOJkEBXyVzGeLLCVKiw3w3nuq2PzinkujeL6k59Ik&#10;i7MQn5u6l06FKecjBEdz8b/5Mf+/bPJjaWhtVuD/5zrYru8m6XwSHPI9xOiHuiwx4gIQGVaMGnKE&#10;bDTHT1XxjyY4VL+st6fP1fZwAnvIfDQUEEkVPzTwUPBw/ku1Btz8+VSZIOkQmy2TBKYJMBjOl8nM&#10;vDRfOYbj2TKNImIqWmaLLBZM5aviuTl9LCszVPnXT82JYnoNv5mIXFu37iH+H/c7CO8/TINwtgzO&#10;+JOG66lVCpnSLNiAStJVAWNanNkwSixUBlEgaMZQUqYCdgxbkwklxSsY2/ZlKhKMAVNSkCBmWyWF&#10;n5ATvRgmKOQ8R/Nh10LOdJgoSJxrFYmzHUUKEuc7ThWbON9JpiAJvkMFifOdhgoS5ztUkCJOuIYU&#10;ccZDhXGcaO3wajxFnHGgYDC8I864EgSRIDxWgDjhGhDnW4uBiPOtAXG650oIxJxuBSjmbGfLYddi&#10;zrYW3zFnW0XibGvjFnO650oExJxuLb5jzneqLEwx51uLypgTriElnHANKeGMpwrjCWdc4ynhjC8W&#10;w2OXcMaVIEgE4Uo0JZzwZTy8DCSccG3oMIm2kzdNFSROuIaU+hCecsLnyuxNOeGaTSknXAvxlBOu&#10;8ZRyxlUkwfh8mCcsh1oyVe8446pNPoxnnHENCYrEi02xEpiZD+NQRHkgcca1aQcFL0NSloKMM65F&#10;QcYZj5XaIvNhPOOMa0hzwbgSBXPBuOLdnDOujd1cYxxq/idXq+YbV74WLwdbv8JvQY67yZmpnY9V&#10;g9sKLGahYL532wbQwmJXUQYDUdlVzteVYdRR2WxkwLjryjCwqGxq9lFlGDtUNjX3qDJWkagNlSLt&#10;jK4bgrWiUfdzMrRehn5uhtbP0M/R0Hoa+rmK9RvaDiWaj6tYpBl1P1exEjPqfq5G1tXIz1Wsqgy6&#10;n6tYO6E61Ec+rmKFZNT9XMWduFH3cxVrHaPu5yoWNEbdz1WsWlAdChMfV7E0Mep+rmL9YdT9XMUq&#10;w6j7uWr34/eJn6tYLyA6lAQ+rmJRYNT9XMXMb9T9XE2tq3R6MbrOpHZUUz9XMVGjMe2BzfVlCbOx&#10;UfdzNbOu0jHSqO2YVw2636hi8jTqfq5ihkR1SII+o4pp0KgLV8kHm8tqOI/snkTWkwBOIh/wFfnq&#10;mJ8wBbpfgzOcCcEZTbDB/ycmAe6rr+V9ZTROmAnN9/Bec5YJb7t8Xzw/bIs/lb9ybXLJnnseDcB1&#10;EdovcOQnDtEeFfkKvbCdfx10P3HvDbsDZ8OBOO7ct8WuakozIBc2ySmKoDY3XL4eosWmcMgoNLg0&#10;XhQmHSHFfYsr0eQnMsQmQdjTMuxxYY+QIWy7WFLlAUFp7B4X+mFDlQvRCtQwu+362RFC7Yma7ewb&#10;DUPcR+ETZgI6u51QDALu3VCzXTdGsS21wAKze1zoxQkFFRx0MOgxmRcwcU21huODZJFZAp2sE9Uy&#10;JsYmw9ylpeuTgd4L2wDmpJWZEZa2wBYG9LyctLMMFneGbMvhjpBm2Suw7QDPTZw4C8eFXnbbCQXZ&#10;ndk9LvTDJmah0GDYdpZ1hDQTyAovbDuh4KiBY9PUg2KCCy22/1haahcCZlzYs9st5HzRbuPUfakH&#10;9pK8oWEH8OuRjYcusJjIIBkX9oyW045Mt6ViB5t4JYdcVNoljSaYH7aFEdPPvpDmSItNHr5i4lgG&#10;Jcy40MvuJbfGmbgcWkucsK3IRpd594QIbvtCOQjdGJGjNxpbsJmCmeIbW6TtfLWxdUXoxaMd6g4M&#10;BQVsDfsTGbaXZHPHV8GqjVsLIxcgKn1gD8yxaTRJ6GW3ZV7CjAv9sLk1jm8bFLAZZ3Y7oT8n7glB&#10;rY0tOQjOGRcjHb5tdQoO4X7BRFG7cTBeXi6Em2q3XX/Y7na4YTBdFeX7XR18zaEf4vTiSiuhtTMn&#10;aYcKn6LhRgncyNN1NrYJNKuHav3tM+CUNbRUbKr610lwhi6Ku0nzz+e8LifB7s8HuBZfhgkeA5zM&#10;hySd40lPzb954N8cnvfvKzAMYic/FIAKNrpf35+oawPaJsDXT4cvxwIV0UC0B9oDyLB/f58AFEvd&#10;PgEzTmiGvfwHqxxdo7f/cZTMljRb7LxwN/8R/udaKzK4LKTRcN0D33Xvjzc1NrkO3/mbM15b7lw0&#10;wIz2MgDvoXsQ/HTXHF33IKD2aiGwa6AHATOvVRi2Anb7rcYgBOSAVoGueHtmwOi1KoNk8LNzBQMr&#10;zusg4nr/4gxMzttZ98Bhvi3hO2fduJS11wDfc3QCY40HJ/PBcxPa87jV+3qFR7pi+aeTJ5HJaHdh&#10;RGYV5qcvcgWnHEnZUEDQWYx4EYmcnRJHfiJU0genYbVwCWxM5mUukSCBx2Q9YFd7k61yDNx3rnaC&#10;h2/57T+f32AB7OY3s4Fj+c0UE795H5yN9Cxa2tzgEmGSsmZBaDj8jVrgqLuDzr1xYXZ9cpCM29Wd&#10;cpndDVxUeD4MI9O00Mfp58QeDk+KKg5PjDYj9YB4agxD07vWN4inx8j0Urkt5MUzmJKt82Fomij6&#10;QAM5smeRSJIqkkiUCtmiDS4xbXB9k+DQ72K4BsTpVoF86Mb70JamxDRBDpjkwzdelbZIsemnG0Dy&#10;IRxr61Ek0QWn0IRFZwtEbVl9k0QTnAbE+VZIEj1woemi6Qcl3sm2FmlAnO0wi7BtaQCJ0636Juk2&#10;jUt9KLzKbY0KtcVENMKBQcNmyU446N6C3tw+56IVTnURL4EvdqlYIswV3kUznO4iZ14JBdjfMqMS&#10;04E64KAgPlOwRDscLIiDXIl2uFCFEqGuQfGlBSb7YGCJfrhQc1B0xKlQPNp1KM66cBDqptsuw3uX&#10;oTYN3Tpq1HYqWGHgwPu+PZK43gNw66jRiMRVEYmELmA627lO5P9ARw1u+H5oz45pj3bt6eC2HbKQ&#10;4cxts69v3KGmvmi73fC4sLdtHdpoOxi5I/aRvg7exMbFdjoqpFa5VgqNdhhIJPWDB7Mvj1yAoCwA&#10;IGrc60nNoYInPAGJ0w3YBQyMBhd6YdvWLwE9JnsNsBxQi3xF+CpsMZq2500Opp3lrxhLu4xIGNvc&#10;J0fSCf0H0j4hyB6TeRFiO1AF8JjMC5itDy6A6WRB3LuQiFpFvGDtA9DQ1j9YuyJ8FbYIDvKj3cPQ&#10;iZllyEq9wN2K2UNSXiDEfm9wPTZuk2RtxaUcFxN5C2xWeCM2VHq+wUKJ9pEW6Yr0VfAiQkLrVSdC&#10;WXj1sdW+MSjjLRcGDp4cSVy0OkNdz8PNrtlXpX2jBq5nLRAsNSyYx4V+2NbVDriHtAfvToRd7Hc5&#10;dN/fToz/mzei2BLcOTGmsGUnxhBm3jeiy0W8EIWCOweO4gU2w9K/Nb9diE7uYS1qT3puF6Kw8Rj6&#10;l0K0aPw//OMfXB9/aHMF283bhejlr1LImt4WeP6lMW3eJciYbCTF0ePusveW3mBMrjX8mD8TAn8Z&#10;xbRA2b/ign96hX82F6iXvzXz7l8AAAD//wMAUEsDBBQABgAIAAAAIQDbkTHM3wAAAAkBAAAPAAAA&#10;ZHJzL2Rvd25yZXYueG1sTI/BTsMwDIbvSLxDZCRuLE3ZplGaTtMEnCYkNiTELWu8tlrjVE3Wdm+P&#10;OcHRn3/9/pyvJ9eKAfvQeNKgZgkIpNLbhioNn4fXhxWIEA1Z03pCDVcMsC5ub3KTWT/SBw77WAku&#10;oZAZDXWMXSZlKGt0Jsx8h8S7k++diTz2lbS9GbnctTJNkqV0piG+UJsOtzWW5/3FaXgbzbh5VC/D&#10;7nzaXr8Pi/evnUKt7++mzTOIiFP8C8OvPqtDwU5HfyEbRKshVSknmadqDoIDqzmDI4OnxRJkkcv/&#10;HxQ/AAAA//8DAFBLAQItABQABgAIAAAAIQC2gziS/gAAAOEBAAATAAAAAAAAAAAAAAAAAAAAAABb&#10;Q29udGVudF9UeXBlc10ueG1sUEsBAi0AFAAGAAgAAAAhADj9If/WAAAAlAEAAAsAAAAAAAAAAAAA&#10;AAAALwEAAF9yZWxzLy5yZWxzUEsBAi0AFAAGAAgAAAAhAKYdIhmPCwAAs0YAAA4AAAAAAAAAAAAA&#10;AAAALgIAAGRycy9lMm9Eb2MueG1sUEsBAi0AFAAGAAgAAAAhANuRMczfAAAACQEAAA8AAAAAAAAA&#10;AAAAAAAA6Q0AAGRycy9kb3ducmV2LnhtbFBLBQYAAAAABAAEAPMAAAD1DgAAAAA=&#10;">
                            <v:shape id="Freeform 57" o:spid="_x0000_s1027" style="position:absolute;left:694;top:1794;width:3095;height:2968;visibility:visible;mso-wrap-style:square;v-text-anchor:top" coordsize="10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9UwgAAANsAAAAPAAAAZHJzL2Rvd25yZXYueG1sRI9Ra8Iw&#10;FIXfB/6HcAd7m+kG7aQaRTcGexJn/AGX5tpWm5uSZLX790YQfDycc77DWaxG24mBfGgdK3ibZiCI&#10;K2darhUc9PfrDESIyAY7x6TgnwKslpOnBZbGXfiXhn2sRYJwKFFBE2NfShmqhiyGqeuJk3d03mJM&#10;0tfSeLwkuO3ke5YV0mLLaaHBnj4bqs77P6sg7E7bShfe5ye3OXRB6tnwpZV6eR7XcxCRxvgI39s/&#10;RkH+Abcv6QfI5RUAAP//AwBQSwECLQAUAAYACAAAACEA2+H2y+4AAACFAQAAEwAAAAAAAAAAAAAA&#10;AAAAAAAAW0NvbnRlbnRfVHlwZXNdLnhtbFBLAQItABQABgAIAAAAIQBa9CxbvwAAABUBAAALAAAA&#10;AAAAAAAAAAAAAB8BAABfcmVscy8ucmVsc1BLAQItABQABgAIAAAAIQBKvR9UwgAAANsAAAAPAAAA&#10;AAAAAAAAAAAAAAcCAABkcnMvZG93bnJldi54bWxQSwUGAAAAAAMAAwC3AAAA9gIAAAAA&#10;" path="m109,c,,,,,,,104,,104,,104v109,,109,,109,l109,xm8,27v2,-1,4,-1,6,c22,35,22,35,22,35,46,11,46,11,46,11v1,-1,4,-1,5,c53,13,53,16,51,17,22,46,22,46,22,46,8,33,8,33,8,33,7,31,7,29,8,27xm8,75c7,73,7,71,8,69v2,-1,4,-1,6,c22,77,22,77,22,77,46,54,46,54,46,54v1,-2,4,-2,5,c53,55,53,58,51,59,22,88,22,88,22,88l8,75xm93,77v-38,,-38,,-38,c52,77,51,75,51,73v,-2,1,-4,4,-4c93,69,93,69,93,69v2,,4,2,4,4c97,75,95,77,93,77xm93,38v-38,,-38,,-38,c52,38,51,36,51,34v,-2,1,-4,4,-4c93,30,93,30,93,30v2,,4,2,4,4c97,36,95,38,93,38xe" fillcolor="black [3213]" stroked="f">
                              <v:path arrowok="t" o:connecttype="custom" o:connectlocs="309522,0;0,0;0,296863;309522,296863;309522,0;22717,77070;39755,77070;62472,99906;130624,31399;144822,31399;144822,48526;62472,131305;22717,94197;22717,77070;22717,214084;22717,196957;39755,196957;62472,219793;130624,154140;144822,154140;144822,168413;62472,251192;22717,214084;264088,219793;156181,219793;144822,208375;156181,196957;264088,196957;275446,208375;264088,219793;264088,108469;156181,108469;144822,97051;156181,85634;264088,85634;275446,97051;264088,108469" o:connectangles="0,0,0,0,0,0,0,0,0,0,0,0,0,0,0,0,0,0,0,0,0,0,0,0,0,0,0,0,0,0,0,0,0,0,0,0,0"/>
                              <o:lock v:ext="edit" verticies="t"/>
                            </v:shape>
                            <v:shape id="Freeform 58" o:spid="_x0000_s1028" style="position:absolute;left:3240;width:223;height:476;visibility:visible;mso-wrap-style:square;v-text-anchor:top" coordsize="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wLwQAAANsAAAAPAAAAZHJzL2Rvd25yZXYueG1sRE/Pa8Iw&#10;FL4P9j+EJ+wyNNWhjq6pDJ3gUbsddnw0zyazeSlNrN1/vxwGHj++38VmdK0YqA/Ws4L5LANBXHtt&#10;uVHw9bmfvoIIEVlj65kU/FKATfn4UGCu/Y1PNFSxESmEQ44KTIxdLmWoDTkMM98RJ+7se4cxwb6R&#10;usdbCnetXGTZSjq0nBoMdrQ1VF+qq1Owj9tve+wOjWx/PszR7s7rl+dBqafJ+P4GItIY7+J/90Er&#10;WKax6Uv6AbL8AwAA//8DAFBLAQItABQABgAIAAAAIQDb4fbL7gAAAIUBAAATAAAAAAAAAAAAAAAA&#10;AAAAAABbQ29udGVudF9UeXBlc10ueG1sUEsBAi0AFAAGAAgAAAAhAFr0LFu/AAAAFQEAAAsAAAAA&#10;AAAAAAAAAAAAHwEAAF9yZWxzLy5yZWxzUEsBAi0AFAAGAAgAAAAhANXRLAvBAAAA2wAAAA8AAAAA&#10;AAAAAAAAAAAABwIAAGRycy9kb3ducmV2LnhtbFBLBQYAAAAAAwADALcAAAD1AgAAAAA=&#10;" path="m8,4c8,2,6,,4,,2,,,2,,4,,17,,17,,17v8,,8,,8,l8,4xe" fillcolor="black [3213]" stroked="f">
                              <v:path arrowok="t" o:connecttype="custom" o:connectlocs="22222,11206;11111,0;0,11206;0,47625;22222,47625;22222,11206" o:connectangles="0,0,0,0,0,0"/>
                            </v:shape>
                            <v:shape id="Freeform 59" o:spid="_x0000_s1029" style="position:absolute;top:462;width:4523;height:5001;visibility:visible;mso-wrap-style:square;v-text-anchor:top" coordsize="15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dxgAAANsAAAAPAAAAZHJzL2Rvd25yZXYueG1sRI9BSwMx&#10;FITvQv9DeIXebLZKra5NiwhWW4poLcXjY/OaXdy8LEm6u/33jSB4HGbmG2a+7G0tWvKhcqxgMs5A&#10;EBdOV2wU7L9eru9BhIissXZMCs4UYLkYXM0x167jT2p30YgE4ZCjgjLGJpcyFCVZDGPXECfv6LzF&#10;mKQ3UnvsEtzW8ibL7qTFitNCiQ09l1T87E5WwbprjWmnr9/+vL3drD+K1ezdHZQaDfunRxCR+vgf&#10;/mu/aQXTB/j9kn6AXFwAAAD//wMAUEsBAi0AFAAGAAgAAAAhANvh9svuAAAAhQEAABMAAAAAAAAA&#10;AAAAAAAAAAAAAFtDb250ZW50X1R5cGVzXS54bWxQSwECLQAUAAYACAAAACEAWvQsW78AAAAVAQAA&#10;CwAAAAAAAAAAAAAAAAAfAQAAX3JlbHMvLnJlbHNQSwECLQAUAAYACAAAACEA6Gf4ncYAAADbAAAA&#10;DwAAAAAAAAAAAAAAAAAHAgAAZHJzL2Rvd25yZXYueG1sUEsFBgAAAAADAAMAtwAAAPoCAAAAAA==&#10;" path="m146,c123,,123,,123,v,17,,17,,17c123,19,121,21,119,21v-2,,-4,-2,-4,-4c115,,115,,115,,44,,44,,44,v,17,,17,,17c44,19,42,21,40,21v-2,,-4,-2,-4,-4c36,,36,,36,,14,,14,,14,,6,,,6,,13,,162,,162,,162v,7,6,13,14,13c146,175,146,175,146,175v7,,13,-6,13,-13c159,13,159,13,159,13,159,6,153,,146,xm142,160v-125,,-125,,-125,c17,40,17,40,17,40v125,,125,,125,l142,160xe" fillcolor="black [3213]" stroked="f">
                              <v:path arrowok="t" o:connecttype="custom" o:connectlocs="415392,0;349954,0;349954,48578;338573,60008;327192,48578;327192,0;125187,0;125187,48578;113806,60008;102425,48578;102425,0;39832,0;0,37148;0,462915;39832,500063;415392,500063;452379,462915;452379,37148;415392,0;404011,457200;48368,457200;48368,114300;404011,114300;404011,457200" o:connectangles="0,0,0,0,0,0,0,0,0,0,0,0,0,0,0,0,0,0,0,0,0,0,0,0"/>
                              <o:lock v:ext="edit" verticies="t"/>
                            </v:shape>
                            <v:shape id="Freeform 60" o:spid="_x0000_s1030" style="position:absolute;left:983;width:238;height:476;visibility:visible;mso-wrap-style:square;v-text-anchor:top" coordsize="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qwvwAAANsAAAAPAAAAZHJzL2Rvd25yZXYueG1sRE9Ni8Iw&#10;EL0v+B/CCF4WTdcFlWoUcRU8uurB49CMTbSZlCbW+u/NYWGPj/e9WHWuEi01wXpW8DXKQBAXXlsu&#10;FZxPu+EMRIjIGivPpOBFAVbL3scCc+2f/EvtMZYihXDIUYGJsc6lDIUhh2Hka+LEXX3jMCbYlFI3&#10;+EzhrpLjLJtIh5ZTg8GaNoaK+/HhFOzi5mIP9b6U1W1rDvbnOv3+bJUa9Lv1HESkLv6L/9x7rWCS&#10;1qcv6QfI5RsAAP//AwBQSwECLQAUAAYACAAAACEA2+H2y+4AAACFAQAAEwAAAAAAAAAAAAAAAAAA&#10;AAAAW0NvbnRlbnRfVHlwZXNdLnhtbFBLAQItABQABgAIAAAAIQBa9CxbvwAAABUBAAALAAAAAAAA&#10;AAAAAAAAAB8BAABfcmVscy8ucmVsc1BLAQItABQABgAIAAAAIQDly+qwvwAAANsAAAAPAAAAAAAA&#10;AAAAAAAAAAcCAABkcnMvZG93bnJldi54bWxQSwUGAAAAAAMAAwC3AAAA8wIAAAAA&#10;" path="m8,4c8,2,6,,4,,2,,,2,,4,,17,,17,,17v8,,8,,8,l8,4xe" fillcolor="black [3213]" stroked="f">
                              <v:path arrowok="t" o:connecttype="custom" o:connectlocs="23809,11206;11905,0;0,11206;0,47625;23809,47625;23809,11206" o:connectangles="0,0,0,0,0,0"/>
                            </v:shape>
                          </v:group>
                        </w:pict>
                      </mc:Fallback>
                    </mc:AlternateContent>
                  </w:r>
                </w:p>
              </w:tc>
              <w:tc>
                <w:tcPr>
                  <w:tcW w:w="1423" w:type="dxa"/>
                  <w:tcBorders>
                    <w:bottom w:val="nil"/>
                  </w:tcBorders>
                  <w:vAlign w:val="center"/>
                </w:tcPr>
                <w:p w14:paraId="4FDF5579" w14:textId="77777777" w:rsidR="008F265F" w:rsidRDefault="00A542E4">
                  <w:pPr>
                    <w:pStyle w:val="1"/>
                    <w:adjustRightInd w:val="0"/>
                    <w:snapToGrid w:val="0"/>
                    <w:spacing w:line="360" w:lineRule="exact"/>
                    <w:ind w:firstLineChars="0" w:firstLine="0"/>
                    <w:rPr>
                      <w:rFonts w:ascii="宋体" w:eastAsia="仿宋_GB2312" w:hAnsi="宋体"/>
                      <w:szCs w:val="21"/>
                    </w:rPr>
                  </w:pPr>
                  <w:r>
                    <w:rPr>
                      <w:rFonts w:ascii="宋体" w:eastAsia="仿宋_GB2312" w:hAnsi="宋体" w:hint="eastAsia"/>
                      <w:b/>
                      <w:bCs/>
                      <w:kern w:val="0"/>
                      <w:szCs w:val="18"/>
                      <w:lang w:val="zh-CN"/>
                    </w:rPr>
                    <w:t>常用术语</w:t>
                  </w:r>
                </w:p>
              </w:tc>
              <w:tc>
                <w:tcPr>
                  <w:tcW w:w="7124" w:type="dxa"/>
                  <w:tcBorders>
                    <w:bottom w:val="nil"/>
                  </w:tcBorders>
                </w:tcPr>
                <w:p w14:paraId="45DEE424" w14:textId="77777777" w:rsidR="008F265F" w:rsidRDefault="00A542E4">
                  <w:pPr>
                    <w:adjustRightInd w:val="0"/>
                    <w:snapToGrid w:val="0"/>
                    <w:spacing w:beforeLines="50" w:before="156" w:line="360" w:lineRule="exact"/>
                    <w:rPr>
                      <w:rFonts w:ascii="宋体" w:eastAsia="仿宋_GB2312" w:hAnsi="宋体"/>
                      <w:szCs w:val="21"/>
                    </w:rPr>
                  </w:pPr>
                  <w:r>
                    <w:rPr>
                      <w:rFonts w:ascii="宋体" w:eastAsia="仿宋_GB2312" w:hAnsi="宋体" w:hint="eastAsia"/>
                      <w:b/>
                      <w:szCs w:val="21"/>
                    </w:rPr>
                    <w:t>☆</w:t>
                  </w:r>
                  <w:r>
                    <w:rPr>
                      <w:rFonts w:ascii="宋体" w:eastAsia="仿宋_GB2312" w:hAnsi="宋体" w:hint="eastAsia"/>
                      <w:b/>
                      <w:szCs w:val="21"/>
                    </w:rPr>
                    <w:tab/>
                  </w:r>
                  <w:r>
                    <w:rPr>
                      <w:rFonts w:ascii="宋体" w:eastAsia="仿宋_GB2312" w:hAnsi="宋体" w:hint="eastAsia"/>
                      <w:b/>
                      <w:szCs w:val="21"/>
                    </w:rPr>
                    <w:t>投保人</w:t>
                  </w:r>
                  <w:r>
                    <w:rPr>
                      <w:rFonts w:ascii="宋体" w:eastAsia="仿宋_GB2312" w:hAnsi="宋体" w:hint="eastAsia"/>
                      <w:szCs w:val="21"/>
                    </w:rPr>
                    <w:t>指购买保险并交纳保险费的人。</w:t>
                  </w:r>
                </w:p>
                <w:p w14:paraId="12E3031C" w14:textId="77777777" w:rsidR="008F265F" w:rsidRDefault="00A542E4">
                  <w:pPr>
                    <w:adjustRightInd w:val="0"/>
                    <w:snapToGrid w:val="0"/>
                    <w:spacing w:line="360" w:lineRule="exact"/>
                    <w:rPr>
                      <w:rFonts w:ascii="宋体" w:eastAsia="仿宋_GB2312" w:hAnsi="宋体"/>
                      <w:szCs w:val="21"/>
                    </w:rPr>
                  </w:pPr>
                  <w:r>
                    <w:rPr>
                      <w:rFonts w:ascii="宋体" w:eastAsia="仿宋_GB2312" w:hAnsi="宋体" w:hint="eastAsia"/>
                      <w:b/>
                      <w:szCs w:val="21"/>
                    </w:rPr>
                    <w:t>☆</w:t>
                  </w:r>
                  <w:r>
                    <w:rPr>
                      <w:rFonts w:ascii="宋体" w:eastAsia="仿宋_GB2312" w:hAnsi="宋体" w:hint="eastAsia"/>
                      <w:b/>
                      <w:szCs w:val="21"/>
                    </w:rPr>
                    <w:tab/>
                  </w:r>
                  <w:r>
                    <w:rPr>
                      <w:rFonts w:ascii="宋体" w:eastAsia="仿宋_GB2312" w:hAnsi="宋体" w:hint="eastAsia"/>
                      <w:b/>
                      <w:szCs w:val="21"/>
                    </w:rPr>
                    <w:t>被保险人</w:t>
                  </w:r>
                  <w:r>
                    <w:rPr>
                      <w:rFonts w:ascii="宋体" w:eastAsia="仿宋_GB2312" w:hAnsi="宋体" w:hint="eastAsia"/>
                      <w:szCs w:val="21"/>
                    </w:rPr>
                    <w:t>指受保险合同保障的人。</w:t>
                  </w:r>
                </w:p>
                <w:p w14:paraId="29FB0E55" w14:textId="77777777" w:rsidR="008F265F" w:rsidRDefault="00A542E4">
                  <w:pPr>
                    <w:adjustRightInd w:val="0"/>
                    <w:snapToGrid w:val="0"/>
                    <w:spacing w:line="360" w:lineRule="exact"/>
                    <w:rPr>
                      <w:rFonts w:ascii="宋体" w:eastAsia="仿宋_GB2312" w:hAnsi="宋体"/>
                      <w:szCs w:val="21"/>
                    </w:rPr>
                  </w:pPr>
                  <w:r>
                    <w:rPr>
                      <w:rFonts w:ascii="宋体" w:eastAsia="仿宋_GB2312" w:hAnsi="宋体" w:hint="eastAsia"/>
                      <w:b/>
                      <w:szCs w:val="21"/>
                    </w:rPr>
                    <w:t>☆</w:t>
                  </w:r>
                  <w:r>
                    <w:rPr>
                      <w:rFonts w:ascii="宋体" w:eastAsia="仿宋_GB2312" w:hAnsi="宋体" w:hint="eastAsia"/>
                      <w:b/>
                      <w:szCs w:val="21"/>
                    </w:rPr>
                    <w:tab/>
                  </w:r>
                  <w:r>
                    <w:rPr>
                      <w:rFonts w:ascii="宋体" w:eastAsia="仿宋_GB2312" w:hAnsi="宋体" w:hint="eastAsia"/>
                      <w:b/>
                      <w:szCs w:val="21"/>
                    </w:rPr>
                    <w:t>受益人</w:t>
                  </w:r>
                  <w:r>
                    <w:rPr>
                      <w:rFonts w:ascii="宋体" w:eastAsia="仿宋_GB2312" w:hAnsi="宋体" w:hint="eastAsia"/>
                      <w:szCs w:val="21"/>
                    </w:rPr>
                    <w:t>指发生保险事故后领取保险金的人。</w:t>
                  </w:r>
                </w:p>
                <w:p w14:paraId="1F619F75" w14:textId="77777777" w:rsidR="008F265F" w:rsidRDefault="00A542E4">
                  <w:pPr>
                    <w:pStyle w:val="1"/>
                    <w:adjustRightInd w:val="0"/>
                    <w:snapToGrid w:val="0"/>
                    <w:spacing w:line="360" w:lineRule="exact"/>
                    <w:ind w:firstLineChars="0" w:firstLine="0"/>
                    <w:rPr>
                      <w:rFonts w:ascii="宋体" w:eastAsia="仿宋_GB2312" w:hAnsi="宋体"/>
                      <w:szCs w:val="21"/>
                    </w:rPr>
                  </w:pPr>
                  <w:r>
                    <w:rPr>
                      <w:rFonts w:ascii="宋体" w:eastAsia="仿宋_GB2312" w:hAnsi="宋体" w:hint="eastAsia"/>
                      <w:b/>
                      <w:szCs w:val="21"/>
                    </w:rPr>
                    <w:t>☆</w:t>
                  </w:r>
                  <w:r>
                    <w:rPr>
                      <w:rFonts w:ascii="宋体" w:eastAsia="仿宋_GB2312" w:hAnsi="宋体" w:hint="eastAsia"/>
                      <w:b/>
                      <w:szCs w:val="21"/>
                    </w:rPr>
                    <w:tab/>
                  </w:r>
                  <w:r>
                    <w:rPr>
                      <w:rFonts w:ascii="宋体" w:eastAsia="仿宋_GB2312" w:hAnsi="宋体" w:hint="eastAsia"/>
                      <w:b/>
                      <w:szCs w:val="21"/>
                    </w:rPr>
                    <w:t>保险人</w:t>
                  </w:r>
                  <w:r>
                    <w:rPr>
                      <w:rFonts w:ascii="宋体" w:eastAsia="仿宋_GB2312" w:hAnsi="宋体" w:hint="eastAsia"/>
                      <w:szCs w:val="21"/>
                    </w:rPr>
                    <w:t>指招商局仁和人寿保险股份有限公司。</w:t>
                  </w:r>
                </w:p>
                <w:p w14:paraId="7F2F1767" w14:textId="77777777" w:rsidR="008F265F" w:rsidRDefault="00A542E4">
                  <w:pPr>
                    <w:pStyle w:val="1"/>
                    <w:adjustRightInd w:val="0"/>
                    <w:snapToGrid w:val="0"/>
                    <w:spacing w:line="360" w:lineRule="exact"/>
                    <w:ind w:firstLineChars="0" w:firstLine="0"/>
                    <w:rPr>
                      <w:rFonts w:ascii="宋体" w:eastAsia="仿宋_GB2312" w:hAnsi="宋体"/>
                      <w:szCs w:val="21"/>
                    </w:rPr>
                  </w:pPr>
                  <w:r>
                    <w:rPr>
                      <w:rFonts w:ascii="宋体" w:eastAsia="仿宋_GB2312" w:hAnsi="宋体" w:hint="eastAsia"/>
                      <w:b/>
                      <w:szCs w:val="21"/>
                    </w:rPr>
                    <w:t>☆</w:t>
                  </w:r>
                  <w:r>
                    <w:rPr>
                      <w:rFonts w:ascii="宋体" w:eastAsia="仿宋_GB2312" w:hAnsi="宋体"/>
                      <w:b/>
                      <w:szCs w:val="21"/>
                    </w:rPr>
                    <w:tab/>
                  </w:r>
                  <w:r>
                    <w:rPr>
                      <w:rFonts w:ascii="宋体" w:eastAsia="仿宋_GB2312" w:hAnsi="宋体" w:hint="eastAsia"/>
                      <w:b/>
                      <w:szCs w:val="21"/>
                    </w:rPr>
                    <w:t>犹豫期</w:t>
                  </w:r>
                  <w:r>
                    <w:rPr>
                      <w:rFonts w:ascii="宋体" w:eastAsia="仿宋_GB2312" w:hAnsi="宋体" w:hint="eastAsia"/>
                      <w:szCs w:val="21"/>
                    </w:rPr>
                    <w:t>是指对于保险期间为一年期以上的人身保险产品，为了使投保人能够冷静考虑自己的保险需求，保险合同约定投保人签收保险合同之日起的十五日（指自然日，下同）内可以解除保险合同，保险公司将无息退还投保人已交纳的保险费。该期间称为犹豫期。</w:t>
                  </w:r>
                </w:p>
              </w:tc>
            </w:tr>
            <w:tr w:rsidR="008F265F" w14:paraId="5AF74A9E" w14:textId="77777777">
              <w:trPr>
                <w:trHeight w:val="757"/>
              </w:trPr>
              <w:tc>
                <w:tcPr>
                  <w:tcW w:w="1153" w:type="dxa"/>
                  <w:tcBorders>
                    <w:bottom w:val="nil"/>
                  </w:tcBorders>
                </w:tcPr>
                <w:p w14:paraId="75E9E74D" w14:textId="77777777" w:rsidR="008F265F" w:rsidRDefault="00A542E4">
                  <w:pPr>
                    <w:pStyle w:val="1"/>
                    <w:adjustRightInd w:val="0"/>
                    <w:snapToGrid w:val="0"/>
                    <w:spacing w:beforeLines="50" w:before="156" w:line="360" w:lineRule="exact"/>
                    <w:ind w:firstLineChars="0" w:firstLine="0"/>
                    <w:rPr>
                      <w:rFonts w:ascii="宋体" w:eastAsia="仿宋_GB2312" w:hAnsi="宋体"/>
                      <w:b/>
                      <w:bCs/>
                      <w:szCs w:val="21"/>
                    </w:rPr>
                  </w:pPr>
                  <w:r>
                    <w:rPr>
                      <w:rFonts w:ascii="宋体" w:hAnsi="宋体" w:hint="eastAsia"/>
                      <w:noProof/>
                      <w:szCs w:val="21"/>
                    </w:rPr>
                    <mc:AlternateContent>
                      <mc:Choice Requires="wpg">
                        <w:drawing>
                          <wp:anchor distT="0" distB="0" distL="114300" distR="114300" simplePos="0" relativeHeight="251662336" behindDoc="0" locked="0" layoutInCell="1" allowOverlap="1" wp14:anchorId="0E95C9B4" wp14:editId="2367B670">
                            <wp:simplePos x="0" y="0"/>
                            <wp:positionH relativeFrom="column">
                              <wp:posOffset>173355</wp:posOffset>
                            </wp:positionH>
                            <wp:positionV relativeFrom="paragraph">
                              <wp:posOffset>114300</wp:posOffset>
                            </wp:positionV>
                            <wp:extent cx="370205" cy="375920"/>
                            <wp:effectExtent l="0" t="0" r="0" b="5080"/>
                            <wp:wrapNone/>
                            <wp:docPr id="54" name="组合 54"/>
                            <wp:cNvGraphicFramePr/>
                            <a:graphic xmlns:a="http://schemas.openxmlformats.org/drawingml/2006/main">
                              <a:graphicData uri="http://schemas.microsoft.com/office/word/2010/wordprocessingGroup">
                                <wpg:wgp>
                                  <wpg:cNvGrpSpPr/>
                                  <wpg:grpSpPr>
                                    <a:xfrm>
                                      <a:off x="0" y="0"/>
                                      <a:ext cx="370390" cy="376178"/>
                                      <a:chOff x="0" y="0"/>
                                      <a:chExt cx="478220" cy="548241"/>
                                    </a:xfrm>
                                  </wpg:grpSpPr>
                                  <wps:wsp>
                                    <wps:cNvPr id="51" name="Oval 8"/>
                                    <wps:cNvSpPr>
                                      <a:spLocks noChangeArrowheads="1"/>
                                    </wps:cNvSpPr>
                                    <wps:spPr bwMode="auto">
                                      <a:xfrm>
                                        <a:off x="103367" y="0"/>
                                        <a:ext cx="265078" cy="265113"/>
                                      </a:xfrm>
                                      <a:prstGeom prst="ellipse">
                                        <a:avLst/>
                                      </a:prstGeom>
                                      <a:solidFill>
                                        <a:schemeClr val="tx1"/>
                                      </a:solidFill>
                                      <a:ln>
                                        <a:noFill/>
                                      </a:ln>
                                    </wps:spPr>
                                    <wps:bodyPr vert="horz" wrap="square" lIns="91440" tIns="45720" rIns="91440" bIns="45720" numCol="1" anchor="t" anchorCtr="0" compatLnSpc="1"/>
                                  </wps:wsp>
                                  <wps:wsp>
                                    <wps:cNvPr id="52" name="Freeform 9"/>
                                    <wps:cNvSpPr/>
                                    <wps:spPr bwMode="auto">
                                      <a:xfrm>
                                        <a:off x="0" y="318053"/>
                                        <a:ext cx="239681" cy="230188"/>
                                      </a:xfrm>
                                      <a:custGeom>
                                        <a:avLst/>
                                        <a:gdLst>
                                          <a:gd name="T0" fmla="*/ 49 w 84"/>
                                          <a:gd name="T1" fmla="*/ 0 h 81"/>
                                          <a:gd name="T2" fmla="*/ 49 w 84"/>
                                          <a:gd name="T3" fmla="*/ 0 h 81"/>
                                          <a:gd name="T4" fmla="*/ 0 w 84"/>
                                          <a:gd name="T5" fmla="*/ 51 h 81"/>
                                          <a:gd name="T6" fmla="*/ 0 w 84"/>
                                          <a:gd name="T7" fmla="*/ 81 h 81"/>
                                          <a:gd name="T8" fmla="*/ 84 w 84"/>
                                          <a:gd name="T9" fmla="*/ 81 h 81"/>
                                          <a:gd name="T10" fmla="*/ 50 w 84"/>
                                          <a:gd name="T11" fmla="*/ 0 h 81"/>
                                          <a:gd name="T12" fmla="*/ 49 w 84"/>
                                          <a:gd name="T13" fmla="*/ 0 h 81"/>
                                        </a:gdLst>
                                        <a:ahLst/>
                                        <a:cxnLst>
                                          <a:cxn ang="0">
                                            <a:pos x="T0" y="T1"/>
                                          </a:cxn>
                                          <a:cxn ang="0">
                                            <a:pos x="T2" y="T3"/>
                                          </a:cxn>
                                          <a:cxn ang="0">
                                            <a:pos x="T4" y="T5"/>
                                          </a:cxn>
                                          <a:cxn ang="0">
                                            <a:pos x="T6" y="T7"/>
                                          </a:cxn>
                                          <a:cxn ang="0">
                                            <a:pos x="T8" y="T9"/>
                                          </a:cxn>
                                          <a:cxn ang="0">
                                            <a:pos x="T10" y="T11"/>
                                          </a:cxn>
                                          <a:cxn ang="0">
                                            <a:pos x="T12" y="T13"/>
                                          </a:cxn>
                                        </a:cxnLst>
                                        <a:rect l="0" t="0" r="r" b="b"/>
                                        <a:pathLst>
                                          <a:path w="84" h="81">
                                            <a:moveTo>
                                              <a:pt x="49" y="0"/>
                                            </a:moveTo>
                                            <a:cubicBezTo>
                                              <a:pt x="49" y="0"/>
                                              <a:pt x="49" y="0"/>
                                              <a:pt x="49" y="0"/>
                                            </a:cubicBezTo>
                                            <a:cubicBezTo>
                                              <a:pt x="21" y="1"/>
                                              <a:pt x="0" y="24"/>
                                              <a:pt x="0" y="51"/>
                                            </a:cubicBezTo>
                                            <a:cubicBezTo>
                                              <a:pt x="0" y="81"/>
                                              <a:pt x="0" y="81"/>
                                              <a:pt x="0" y="81"/>
                                            </a:cubicBezTo>
                                            <a:cubicBezTo>
                                              <a:pt x="84" y="81"/>
                                              <a:pt x="84" y="81"/>
                                              <a:pt x="84" y="81"/>
                                            </a:cubicBezTo>
                                            <a:cubicBezTo>
                                              <a:pt x="50" y="0"/>
                                              <a:pt x="50" y="0"/>
                                              <a:pt x="50" y="0"/>
                                            </a:cubicBezTo>
                                            <a:lnTo>
                                              <a:pt x="49" y="0"/>
                                            </a:lnTo>
                                            <a:close/>
                                          </a:path>
                                        </a:pathLst>
                                      </a:custGeom>
                                      <a:solidFill>
                                        <a:schemeClr val="tx1"/>
                                      </a:solidFill>
                                      <a:ln>
                                        <a:noFill/>
                                      </a:ln>
                                    </wps:spPr>
                                    <wps:bodyPr vert="horz" wrap="square" lIns="91440" tIns="45720" rIns="91440" bIns="45720" numCol="1" anchor="t" anchorCtr="0" compatLnSpc="1"/>
                                  </wps:wsp>
                                  <wps:wsp>
                                    <wps:cNvPr id="53" name="Freeform 10"/>
                                    <wps:cNvSpPr/>
                                    <wps:spPr bwMode="auto">
                                      <a:xfrm>
                                        <a:off x="238539" y="318053"/>
                                        <a:ext cx="239681" cy="230188"/>
                                      </a:xfrm>
                                      <a:custGeom>
                                        <a:avLst/>
                                        <a:gdLst>
                                          <a:gd name="T0" fmla="*/ 35 w 84"/>
                                          <a:gd name="T1" fmla="*/ 0 h 81"/>
                                          <a:gd name="T2" fmla="*/ 35 w 84"/>
                                          <a:gd name="T3" fmla="*/ 0 h 81"/>
                                          <a:gd name="T4" fmla="*/ 0 w 84"/>
                                          <a:gd name="T5" fmla="*/ 81 h 81"/>
                                          <a:gd name="T6" fmla="*/ 84 w 84"/>
                                          <a:gd name="T7" fmla="*/ 81 h 81"/>
                                          <a:gd name="T8" fmla="*/ 84 w 84"/>
                                          <a:gd name="T9" fmla="*/ 51 h 81"/>
                                          <a:gd name="T10" fmla="*/ 35 w 84"/>
                                          <a:gd name="T11" fmla="*/ 0 h 81"/>
                                        </a:gdLst>
                                        <a:ahLst/>
                                        <a:cxnLst>
                                          <a:cxn ang="0">
                                            <a:pos x="T0" y="T1"/>
                                          </a:cxn>
                                          <a:cxn ang="0">
                                            <a:pos x="T2" y="T3"/>
                                          </a:cxn>
                                          <a:cxn ang="0">
                                            <a:pos x="T4" y="T5"/>
                                          </a:cxn>
                                          <a:cxn ang="0">
                                            <a:pos x="T6" y="T7"/>
                                          </a:cxn>
                                          <a:cxn ang="0">
                                            <a:pos x="T8" y="T9"/>
                                          </a:cxn>
                                          <a:cxn ang="0">
                                            <a:pos x="T10" y="T11"/>
                                          </a:cxn>
                                        </a:cxnLst>
                                        <a:rect l="0" t="0" r="r" b="b"/>
                                        <a:pathLst>
                                          <a:path w="84" h="81">
                                            <a:moveTo>
                                              <a:pt x="35" y="0"/>
                                            </a:moveTo>
                                            <a:cubicBezTo>
                                              <a:pt x="35" y="0"/>
                                              <a:pt x="35" y="0"/>
                                              <a:pt x="35" y="0"/>
                                            </a:cubicBezTo>
                                            <a:cubicBezTo>
                                              <a:pt x="0" y="81"/>
                                              <a:pt x="0" y="81"/>
                                              <a:pt x="0" y="81"/>
                                            </a:cubicBezTo>
                                            <a:cubicBezTo>
                                              <a:pt x="84" y="81"/>
                                              <a:pt x="84" y="81"/>
                                              <a:pt x="84" y="81"/>
                                            </a:cubicBezTo>
                                            <a:cubicBezTo>
                                              <a:pt x="84" y="51"/>
                                              <a:pt x="84" y="51"/>
                                              <a:pt x="84" y="51"/>
                                            </a:cubicBezTo>
                                            <a:cubicBezTo>
                                              <a:pt x="84" y="24"/>
                                              <a:pt x="63" y="1"/>
                                              <a:pt x="35" y="0"/>
                                            </a:cubicBez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94FA3A6" id="组合 54" o:spid="_x0000_s1026" style="position:absolute;left:0;text-align:left;margin-left:13.65pt;margin-top:9pt;width:29.15pt;height:29.6pt;z-index:251662336" coordsize="4782,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a8lwQAANITAAAOAAAAZHJzL2Uyb0RvYy54bWzsWNtu4zYQfS/QfyD0WKCxLpYtC3EWbbYJ&#10;CqTdBZJ+AC3RllBJVEk5cvbr95CUZNmWYjfdFiiQF0ckR8OZM5cz0fWHXZ6RZyZkyoul5VzZFmFF&#10;xOO02CytP57ufgwsIitaxDTjBVtaL0xaH26+/+66LkPm8oRnMRMESgoZ1uXSSqqqDCcTGSUsp/KK&#10;l6zA4ZqLnFZYis0kFrSG9jybuLY9m9RcxKXgEZMSux/NoXWj9a/XLKo+rdeSVSRbWrCt0r9C/67U&#10;7+TmmoYbQcskjRoz6BusyGla4NJO1UdaUbIV6YmqPI0El3xdXUU8n/D1Oo2Y9gHeOPaRN/eCb0vt&#10;yyasN2UHE6A9wunNaqPfn+9F+Vh+FkCiLjfAQq+UL7u1yNVfWEl2GrKXDjK2q0iETW9uewsAG+HI&#10;m8+ceWAgjRLgfvJWlPzSvDedB67bvOdPA3fqqPcm7aWTA1PqEskh9/7Lf+b/Y0JLpmGVIfz/LEga&#10;Ly3fsUhBc+Top2eaEe2HuhgSCh4FhCwfePSnJAW/TWixYT8JweuE0RgGGfsPXlALiVfJqv6Nx1BM&#10;txXXWXKErGN73mxukVN43ZlvA1INL54dxzuAiYalkNU94zlRD0uLZVlaSuUcDenzg6wMqK2UdoJn&#10;aXyXZpleqDpjt5kg8HlpVbs2DLIvlRVKtuDqLaNQ7SBGxj+VODJc8fgFvqIXwI6Eiy8WqVFXS0v+&#10;taWCWST7tQBOC2c6VYWoF1N/rpJA9E9W/ZNim99yGIbY0CKCVtjYPt5Wpo5RSCWtHorHMuqHAQlj&#10;DPv3M8dtM+dOMKZ6FVmoMPWSoVldlA0ARBWTE9i+jjYN22JzvcUsABSq2FzPdgKdpF3R0DDammzo&#10;hx89KUYiqK1N3GT4E+5Y5xk63Q8TMl2QmgRTU7d7EdzTidgkIbgYXvSVwO1OYkSJ1xMZVjI9kBgy&#10;xO9J+M6gJbOeiD3oDaqrszUYVoIy24tMB7Us+iLDWpw+tP6wMc55bJ0LwEUz2Fu8Rxf50EWcJqYH&#10;IDV2RZMFeEIxgUNs3SZKLlWfVimBtHpqGwCkVLRHhGGdEm670evCCLES9pvW9bowQqmE5xcJI2RK&#10;WFcb3H5ds4qMkgb6pomdEW987FquFje3NEgKjBfHg4WwCAaLlakV9CUVAAWkeiT10kKhkQR/HA1+&#10;zp/ZE9fnlYrCFBkGG/Vcgqv2x9F2lUY/sy9jwrjgRMHQnrL/QNXhyihxkZ+woil4s2fAc5s20d8D&#10;cTZ4nlVslLSdpK9kfO8iixWqsPhQy/nNi3T7xupmVjRGn9s7UZwVY5GDaHsYZVwyg6VKFz0PdSmk&#10;Ve7b+wFB63H5ncYvnatHBkC0UzMAdjSOloFwvJHHXS/wPVPP/x2Ze/4gcZ0nnD7fjCgZppv+RPD3&#10;yHyEh/tkHgzz8Ldn85HB4oDNR2AZYXPU6zsND8wZwzSsuls3oXx7XvUwRF7Mq33hlkPP7enu3Kfo&#10;IV79X9Jfw6KG5Vs4zm9eBEij5nCqmKHPHE8fffhPNb/T5vB/v/orCj4c6UGi+cilvkz11/r/+P2n&#10;uJuvAAAA//8DAFBLAwQUAAYACAAAACEAeUCYEN4AAAAHAQAADwAAAGRycy9kb3ducmV2LnhtbEyP&#10;QUvDQBCF74L/YRnBm90kpU2I2ZRS1FMRbAXxts1Ok9DsbMhuk/TfO570+OY93vum2My2EyMOvnWk&#10;IF5EIJAqZ1qqFXweX58yED5oMrpzhApu6GFT3t8VOjduog8cD6EWXEI+1wqaEPpcSl81aLVfuB6J&#10;vbMbrA4sh1qaQU9cbjuZRNFaWt0SLzS6x12D1eVwtQreJj1tl/HLuL+cd7fv4+r9ax+jUo8P8/YZ&#10;RMA5/IXhF5/RoWSmk7uS8aJTkKRLTvI945fYz1ZrECcFaZqALAv5n7/8AQAA//8DAFBLAQItABQA&#10;BgAIAAAAIQC2gziS/gAAAOEBAAATAAAAAAAAAAAAAAAAAAAAAABbQ29udGVudF9UeXBlc10ueG1s&#10;UEsBAi0AFAAGAAgAAAAhADj9If/WAAAAlAEAAAsAAAAAAAAAAAAAAAAALwEAAF9yZWxzLy5yZWxz&#10;UEsBAi0AFAAGAAgAAAAhAN7IRryXBAAA0hMAAA4AAAAAAAAAAAAAAAAALgIAAGRycy9lMm9Eb2Mu&#10;eG1sUEsBAi0AFAAGAAgAAAAhAHlAmBDeAAAABwEAAA8AAAAAAAAAAAAAAAAA8QYAAGRycy9kb3du&#10;cmV2LnhtbFBLBQYAAAAABAAEAPMAAAD8BwAAAAA=&#10;">
                            <v:oval id="Oval 8" o:spid="_x0000_s1027" style="position:absolute;left:1033;width:2651;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zBxAAAANsAAAAPAAAAZHJzL2Rvd25yZXYueG1sRI9RS8NA&#10;EITfBf/DsULf7KWFSo29FhVaqhDQGvq85NZcMLcXcts09dd7guDjMDPfMKvN6Fs1UB+bwAZm0wwU&#10;cRVsw7WB8mN7uwQVBdliG5gMXCjCZn19tcLchjO/03CQWiUIxxwNOJEu1zpWjjzGaeiIk/cZeo+S&#10;ZF9r2+M5wX2r51l2pz02nBYcdvTsqPo6nLyB7PW7ZCmkvD8OL8vi7eh2bfFkzORmfHwAJTTKf/iv&#10;vbcGFjP4/ZJ+gF7/AAAA//8DAFBLAQItABQABgAIAAAAIQDb4fbL7gAAAIUBAAATAAAAAAAAAAAA&#10;AAAAAAAAAABbQ29udGVudF9UeXBlc10ueG1sUEsBAi0AFAAGAAgAAAAhAFr0LFu/AAAAFQEAAAsA&#10;AAAAAAAAAAAAAAAAHwEAAF9yZWxzLy5yZWxzUEsBAi0AFAAGAAgAAAAhAHkXLMHEAAAA2wAAAA8A&#10;AAAAAAAAAAAAAAAABwIAAGRycy9kb3ducmV2LnhtbFBLBQYAAAAAAwADALcAAAD4AgAAAAA=&#10;" fillcolor="black [3213]" stroked="f"/>
                            <v:shape id="Freeform 9" o:spid="_x0000_s1028" style="position:absolute;top:3180;width:2396;height:2302;visibility:visible;mso-wrap-style:square;v-text-anchor:top" coordsize="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UwwAAANsAAAAPAAAAZHJzL2Rvd25yZXYueG1sRI9Ra8Iw&#10;FIXfBf9DuIO9aTo3ZdRGEUEZe1v1B9w11za0uSlJtJ2/fhkMfDycc77DKbaj7cSNfDCOFbzMMxDE&#10;ldOGawXn02H2DiJEZI2dY1LwQwG2m+mkwFy7gb/oVsZaJAiHHBU0Mfa5lKFqyGKYu544eRfnLcYk&#10;fS21xyHBbScXWbaSFg2nhQZ72jdUteXVKjjsPuujH9rylfu7/b6/meO+NEo9P427NYhIY3yE/9sf&#10;WsFyAX9f0g+Qm18AAAD//wMAUEsBAi0AFAAGAAgAAAAhANvh9svuAAAAhQEAABMAAAAAAAAAAAAA&#10;AAAAAAAAAFtDb250ZW50X1R5cGVzXS54bWxQSwECLQAUAAYACAAAACEAWvQsW78AAAAVAQAACwAA&#10;AAAAAAAAAAAAAAAfAQAAX3JlbHMvLnJlbHNQSwECLQAUAAYACAAAACEA5/iJFMMAAADbAAAADwAA&#10;AAAAAAAAAAAAAAAHAgAAZHJzL2Rvd25yZXYueG1sUEsFBgAAAAADAAMAtwAAAPcCAAAAAA==&#10;" path="m49,v,,,,,c21,1,,24,,51,,81,,81,,81v84,,84,,84,c50,,50,,50,l49,xe" fillcolor="black [3213]" stroked="f">
                              <v:path arrowok="t" o:connecttype="custom" o:connectlocs="139814,0;139814,0;0,144933;0,230188;239681,230188;142667,0;139814,0" o:connectangles="0,0,0,0,0,0,0"/>
                            </v:shape>
                            <v:shape id="Freeform 10" o:spid="_x0000_s1029" style="position:absolute;left:2385;top:3180;width:2397;height:2302;visibility:visible;mso-wrap-style:square;v-text-anchor:top" coordsize="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JMexAAAANsAAAAPAAAAZHJzL2Rvd25yZXYueG1sRI9BawIx&#10;FITvhf6H8ITeNKvFUrZGsdrSpbeqRXp7JM/s0s3Lskl3139vBKHHYWa+YRarwdWiozZUnhVMJxkI&#10;Yu1NxVbBYf8+fgYRIrLB2jMpOFOA1fL+boG58T1/UbeLViQIhxwVlDE2uZRBl+QwTHxDnLyTbx3G&#10;JFsrTYt9grtazrLsSTqsOC2U2NCmJP27+3MKaPP5/aaL1/607YoPv/45Wm2PSj2MhvULiEhD/A/f&#10;2oVRMH+E65f0A+TyAgAA//8DAFBLAQItABQABgAIAAAAIQDb4fbL7gAAAIUBAAATAAAAAAAAAAAA&#10;AAAAAAAAAABbQ29udGVudF9UeXBlc10ueG1sUEsBAi0AFAAGAAgAAAAhAFr0LFu/AAAAFQEAAAsA&#10;AAAAAAAAAAAAAAAAHwEAAF9yZWxzLy5yZWxzUEsBAi0AFAAGAAgAAAAhAMoYkx7EAAAA2wAAAA8A&#10;AAAAAAAAAAAAAAAABwIAAGRycy9kb3ducmV2LnhtbFBLBQYAAAAAAwADALcAAAD4AgAAAAA=&#10;" path="m35,v,,,,,c,81,,81,,81v84,,84,,84,c84,51,84,51,84,51,84,24,63,1,35,xe" fillcolor="black [3213]" stroked="f">
                              <v:path arrowok="t" o:connecttype="custom" o:connectlocs="99867,0;99867,0;0,230188;239681,230188;239681,144933;99867,0" o:connectangles="0,0,0,0,0,0"/>
                            </v:shape>
                          </v:group>
                        </w:pict>
                      </mc:Fallback>
                    </mc:AlternateContent>
                  </w:r>
                </w:p>
              </w:tc>
              <w:tc>
                <w:tcPr>
                  <w:tcW w:w="1423" w:type="dxa"/>
                  <w:tcBorders>
                    <w:bottom w:val="nil"/>
                  </w:tcBorders>
                  <w:vAlign w:val="center"/>
                </w:tcPr>
                <w:p w14:paraId="295B709B" w14:textId="77777777" w:rsidR="008F265F" w:rsidRDefault="00A542E4">
                  <w:pPr>
                    <w:pStyle w:val="1"/>
                    <w:adjustRightInd w:val="0"/>
                    <w:snapToGrid w:val="0"/>
                    <w:spacing w:beforeLines="50" w:before="156" w:line="360" w:lineRule="exact"/>
                    <w:ind w:firstLineChars="0" w:firstLine="0"/>
                    <w:rPr>
                      <w:rFonts w:ascii="宋体" w:eastAsia="仿宋_GB2312" w:hAnsi="宋体"/>
                      <w:b/>
                      <w:bCs/>
                      <w:kern w:val="0"/>
                      <w:szCs w:val="18"/>
                      <w:lang w:val="zh-CN"/>
                    </w:rPr>
                  </w:pPr>
                  <w:r>
                    <w:rPr>
                      <w:rFonts w:ascii="宋体" w:eastAsia="仿宋_GB2312" w:hAnsi="宋体" w:hint="eastAsia"/>
                      <w:b/>
                      <w:bCs/>
                      <w:kern w:val="0"/>
                      <w:szCs w:val="18"/>
                      <w:lang w:val="zh-CN"/>
                    </w:rPr>
                    <w:t>投保案例</w:t>
                  </w:r>
                </w:p>
              </w:tc>
              <w:tc>
                <w:tcPr>
                  <w:tcW w:w="7124" w:type="dxa"/>
                  <w:tcBorders>
                    <w:bottom w:val="nil"/>
                  </w:tcBorders>
                  <w:vAlign w:val="center"/>
                </w:tcPr>
                <w:p w14:paraId="33FBB90F" w14:textId="77777777" w:rsidR="008F265F" w:rsidRDefault="008F265F">
                  <w:pPr>
                    <w:adjustRightInd w:val="0"/>
                    <w:snapToGrid w:val="0"/>
                    <w:spacing w:line="360" w:lineRule="exact"/>
                    <w:rPr>
                      <w:rFonts w:ascii="宋体" w:eastAsia="仿宋_GB2312" w:hAnsi="宋体"/>
                      <w:szCs w:val="21"/>
                    </w:rPr>
                  </w:pPr>
                </w:p>
              </w:tc>
            </w:tr>
            <w:tr w:rsidR="008F265F" w14:paraId="2F8E391C" w14:textId="77777777">
              <w:tc>
                <w:tcPr>
                  <w:tcW w:w="9700" w:type="dxa"/>
                  <w:gridSpan w:val="3"/>
                  <w:tcBorders>
                    <w:top w:val="nil"/>
                    <w:bottom w:val="nil"/>
                  </w:tcBorders>
                </w:tcPr>
                <w:p w14:paraId="5BF664E4" w14:textId="54538B1F" w:rsidR="008F265F" w:rsidRDefault="00A542E4">
                  <w:pPr>
                    <w:adjustRightInd w:val="0"/>
                    <w:snapToGrid w:val="0"/>
                    <w:spacing w:line="360" w:lineRule="exact"/>
                    <w:ind w:leftChars="95" w:left="199"/>
                    <w:rPr>
                      <w:rFonts w:ascii="宋体" w:eastAsia="仿宋_GB2312" w:hAnsi="宋体"/>
                      <w:szCs w:val="21"/>
                    </w:rPr>
                  </w:pPr>
                  <w:r>
                    <w:rPr>
                      <w:rFonts w:ascii="宋体" w:eastAsia="仿宋_GB2312" w:hAnsi="宋体" w:hint="eastAsia"/>
                      <w:szCs w:val="21"/>
                    </w:rPr>
                    <w:t>李女士为儿子小王（</w:t>
                  </w:r>
                  <w:r>
                    <w:rPr>
                      <w:rFonts w:ascii="宋体" w:eastAsia="仿宋_GB2312" w:hAnsi="宋体"/>
                      <w:szCs w:val="21"/>
                    </w:rPr>
                    <w:t>0</w:t>
                  </w:r>
                  <w:r>
                    <w:rPr>
                      <w:rFonts w:ascii="宋体" w:eastAsia="仿宋_GB2312" w:hAnsi="宋体" w:hint="eastAsia"/>
                      <w:szCs w:val="21"/>
                    </w:rPr>
                    <w:t>周岁）投保招商仁和仁心保贝</w:t>
                  </w:r>
                  <w:r>
                    <w:rPr>
                      <w:rFonts w:ascii="宋体" w:eastAsia="仿宋_GB2312" w:hAnsi="宋体" w:hint="eastAsia"/>
                      <w:szCs w:val="21"/>
                    </w:rPr>
                    <w:t>3</w:t>
                  </w:r>
                  <w:r>
                    <w:rPr>
                      <w:rFonts w:ascii="宋体" w:eastAsia="仿宋_GB2312" w:hAnsi="宋体" w:hint="eastAsia"/>
                      <w:szCs w:val="21"/>
                    </w:rPr>
                    <w:t>号重大疾病保险</w:t>
                  </w:r>
                  <w:r>
                    <w:rPr>
                      <w:rFonts w:ascii="宋体" w:eastAsia="仿宋_GB2312" w:hAnsi="宋体" w:hint="eastAsia"/>
                      <w:szCs w:val="21"/>
                    </w:rPr>
                    <w:t>A</w:t>
                  </w:r>
                  <w:r>
                    <w:rPr>
                      <w:rFonts w:ascii="宋体" w:eastAsia="仿宋_GB2312" w:hAnsi="宋体" w:hint="eastAsia"/>
                      <w:szCs w:val="21"/>
                    </w:rPr>
                    <w:t>款（互联网），选择保障计划三十二，交费期为</w:t>
                  </w:r>
                  <w:r>
                    <w:rPr>
                      <w:rFonts w:ascii="宋体" w:eastAsia="仿宋_GB2312" w:hAnsi="宋体" w:hint="eastAsia"/>
                      <w:szCs w:val="21"/>
                    </w:rPr>
                    <w:t>2</w:t>
                  </w:r>
                  <w:r>
                    <w:rPr>
                      <w:rFonts w:ascii="宋体" w:eastAsia="仿宋_GB2312" w:hAnsi="宋体"/>
                      <w:szCs w:val="21"/>
                    </w:rPr>
                    <w:t>0</w:t>
                  </w:r>
                  <w:r>
                    <w:rPr>
                      <w:rFonts w:ascii="宋体" w:eastAsia="仿宋_GB2312" w:hAnsi="宋体" w:hint="eastAsia"/>
                      <w:szCs w:val="21"/>
                    </w:rPr>
                    <w:t>年，保险期间为终身，年交保险费</w:t>
                  </w:r>
                  <w:r w:rsidR="00CD798A">
                    <w:rPr>
                      <w:rFonts w:ascii="宋体" w:eastAsia="仿宋_GB2312" w:hAnsi="宋体"/>
                      <w:szCs w:val="21"/>
                    </w:rPr>
                    <w:t>3531</w:t>
                  </w:r>
                  <w:r>
                    <w:rPr>
                      <w:rFonts w:ascii="宋体" w:eastAsia="仿宋_GB2312" w:hAnsi="宋体" w:hint="eastAsia"/>
                      <w:szCs w:val="21"/>
                    </w:rPr>
                    <w:t>元，对应基本保险金额为</w:t>
                  </w:r>
                  <w:r>
                    <w:rPr>
                      <w:rFonts w:ascii="宋体" w:eastAsia="仿宋_GB2312" w:hAnsi="宋体" w:hint="eastAsia"/>
                      <w:szCs w:val="21"/>
                    </w:rPr>
                    <w:t>30</w:t>
                  </w:r>
                  <w:r>
                    <w:rPr>
                      <w:rFonts w:ascii="宋体" w:eastAsia="仿宋_GB2312" w:hAnsi="宋体" w:hint="eastAsia"/>
                      <w:szCs w:val="21"/>
                    </w:rPr>
                    <w:t>万元，指定身故保险金受益人为李女士。</w:t>
                  </w:r>
                </w:p>
                <w:p w14:paraId="16896256" w14:textId="77777777" w:rsidR="008F265F" w:rsidRDefault="00A542E4">
                  <w:pPr>
                    <w:adjustRightInd w:val="0"/>
                    <w:snapToGrid w:val="0"/>
                    <w:spacing w:line="360" w:lineRule="exact"/>
                    <w:ind w:leftChars="95" w:left="199"/>
                    <w:rPr>
                      <w:rFonts w:ascii="宋体" w:eastAsia="仿宋_GB2312" w:hAnsi="宋体"/>
                      <w:szCs w:val="21"/>
                    </w:rPr>
                  </w:pPr>
                  <w:r>
                    <w:rPr>
                      <w:rFonts w:ascii="宋体" w:eastAsia="仿宋_GB2312" w:hAnsi="宋体" w:hint="eastAsia"/>
                      <w:szCs w:val="21"/>
                    </w:rPr>
                    <w:lastRenderedPageBreak/>
                    <w:t>本例中李女士为投保人，儿子小王为被保险人及</w:t>
                  </w:r>
                  <w:r>
                    <w:rPr>
                      <w:rFonts w:ascii="宋体" w:eastAsia="仿宋_GB2312" w:hAnsi="宋体"/>
                      <w:szCs w:val="21"/>
                    </w:rPr>
                    <w:t>轻症疾病</w:t>
                  </w:r>
                  <w:r>
                    <w:rPr>
                      <w:rFonts w:ascii="宋体" w:eastAsia="仿宋_GB2312" w:hAnsi="宋体" w:hint="eastAsia"/>
                      <w:szCs w:val="21"/>
                    </w:rPr>
                    <w:t>保险金、中症疾病保险金、重大疾病保险金、少儿特定疾病关爱保险金、少儿罕见疾病关爱保险金、全残保险金、疾病关爱保险金、重大疾病多次给付保险金、“恶性肿瘤——重度”关爱保险金、重症监护病房补贴保险金受益人，李女士为身故保险金受益人，招商局仁和人寿保险股份有限公司为保险人。</w:t>
                  </w:r>
                </w:p>
              </w:tc>
            </w:tr>
          </w:tbl>
          <w:p w14:paraId="7E31C607" w14:textId="77777777" w:rsidR="008F265F" w:rsidRDefault="008F265F">
            <w:pPr>
              <w:adjustRightInd w:val="0"/>
              <w:snapToGrid w:val="0"/>
              <w:spacing w:line="160" w:lineRule="exact"/>
              <w:ind w:rightChars="250" w:right="525"/>
              <w:rPr>
                <w:rFonts w:ascii="宋体" w:eastAsia="仿宋_GB2312" w:hAnsi="宋体"/>
                <w:szCs w:val="21"/>
              </w:rPr>
            </w:pPr>
          </w:p>
          <w:tbl>
            <w:tblPr>
              <w:tblStyle w:val="ae"/>
              <w:tblW w:w="9093" w:type="dxa"/>
              <w:jc w:val="center"/>
              <w:tblLayout w:type="fixed"/>
              <w:tblLook w:val="04A0" w:firstRow="1" w:lastRow="0" w:firstColumn="1" w:lastColumn="0" w:noHBand="0" w:noVBand="1"/>
            </w:tblPr>
            <w:tblGrid>
              <w:gridCol w:w="1814"/>
              <w:gridCol w:w="960"/>
              <w:gridCol w:w="2329"/>
              <w:gridCol w:w="3990"/>
            </w:tblGrid>
            <w:tr w:rsidR="008F265F" w14:paraId="2443ABB8" w14:textId="77777777">
              <w:trPr>
                <w:cantSplit/>
                <w:trHeight w:val="444"/>
                <w:jc w:val="center"/>
              </w:trPr>
              <w:tc>
                <w:tcPr>
                  <w:tcW w:w="1814" w:type="dxa"/>
                  <w:vAlign w:val="center"/>
                </w:tcPr>
                <w:p w14:paraId="5686F919" w14:textId="77777777" w:rsidR="008F265F" w:rsidRDefault="00A542E4">
                  <w:pPr>
                    <w:adjustRightInd w:val="0"/>
                    <w:snapToGrid w:val="0"/>
                    <w:rPr>
                      <w:rFonts w:ascii="宋体" w:eastAsia="仿宋_GB2312" w:hAnsi="宋体"/>
                      <w:b/>
                      <w:kern w:val="0"/>
                      <w:sz w:val="20"/>
                      <w:szCs w:val="20"/>
                    </w:rPr>
                  </w:pPr>
                  <w:r>
                    <w:rPr>
                      <w:rFonts w:ascii="宋体" w:eastAsia="仿宋_GB2312" w:hAnsi="宋体" w:hint="eastAsia"/>
                      <w:b/>
                      <w:kern w:val="0"/>
                      <w:sz w:val="20"/>
                      <w:szCs w:val="20"/>
                    </w:rPr>
                    <w:t>保险金</w:t>
                  </w:r>
                </w:p>
              </w:tc>
              <w:tc>
                <w:tcPr>
                  <w:tcW w:w="960" w:type="dxa"/>
                  <w:vAlign w:val="center"/>
                </w:tcPr>
                <w:p w14:paraId="130F05FB" w14:textId="77777777" w:rsidR="008F265F" w:rsidRDefault="00A542E4">
                  <w:pPr>
                    <w:adjustRightInd w:val="0"/>
                    <w:snapToGrid w:val="0"/>
                    <w:rPr>
                      <w:rFonts w:ascii="宋体" w:eastAsia="仿宋_GB2312" w:hAnsi="宋体"/>
                      <w:b/>
                      <w:kern w:val="0"/>
                      <w:sz w:val="20"/>
                      <w:szCs w:val="20"/>
                    </w:rPr>
                  </w:pPr>
                  <w:r>
                    <w:rPr>
                      <w:rFonts w:ascii="宋体" w:eastAsia="仿宋_GB2312" w:hAnsi="宋体" w:hint="eastAsia"/>
                      <w:b/>
                      <w:kern w:val="0"/>
                      <w:sz w:val="20"/>
                      <w:szCs w:val="20"/>
                    </w:rPr>
                    <w:t>领取人</w:t>
                  </w:r>
                </w:p>
              </w:tc>
              <w:tc>
                <w:tcPr>
                  <w:tcW w:w="2329" w:type="dxa"/>
                  <w:vAlign w:val="center"/>
                </w:tcPr>
                <w:p w14:paraId="4265361D" w14:textId="77777777" w:rsidR="008F265F" w:rsidRDefault="00A542E4">
                  <w:pPr>
                    <w:adjustRightInd w:val="0"/>
                    <w:snapToGrid w:val="0"/>
                    <w:rPr>
                      <w:rFonts w:ascii="宋体" w:eastAsia="仿宋_GB2312" w:hAnsi="宋体"/>
                      <w:b/>
                      <w:kern w:val="0"/>
                      <w:sz w:val="20"/>
                      <w:szCs w:val="20"/>
                    </w:rPr>
                  </w:pPr>
                  <w:r>
                    <w:rPr>
                      <w:rFonts w:ascii="宋体" w:eastAsia="仿宋_GB2312" w:hAnsi="宋体" w:hint="eastAsia"/>
                      <w:b/>
                      <w:kern w:val="0"/>
                      <w:sz w:val="20"/>
                      <w:szCs w:val="20"/>
                    </w:rPr>
                    <w:t>给付金额</w:t>
                  </w:r>
                </w:p>
              </w:tc>
              <w:tc>
                <w:tcPr>
                  <w:tcW w:w="3990" w:type="dxa"/>
                  <w:vAlign w:val="center"/>
                </w:tcPr>
                <w:p w14:paraId="3FD9DEC3" w14:textId="77777777" w:rsidR="008F265F" w:rsidRDefault="00A542E4">
                  <w:pPr>
                    <w:adjustRightInd w:val="0"/>
                    <w:snapToGrid w:val="0"/>
                    <w:rPr>
                      <w:rFonts w:ascii="宋体" w:eastAsia="仿宋_GB2312" w:hAnsi="宋体"/>
                      <w:b/>
                      <w:kern w:val="0"/>
                      <w:sz w:val="20"/>
                      <w:szCs w:val="20"/>
                    </w:rPr>
                  </w:pPr>
                  <w:r>
                    <w:rPr>
                      <w:rFonts w:ascii="宋体" w:eastAsia="仿宋_GB2312" w:hAnsi="宋体" w:hint="eastAsia"/>
                      <w:b/>
                      <w:kern w:val="0"/>
                      <w:sz w:val="20"/>
                      <w:szCs w:val="20"/>
                    </w:rPr>
                    <w:t>给付条件</w:t>
                  </w:r>
                </w:p>
              </w:tc>
            </w:tr>
            <w:tr w:rsidR="008F265F" w14:paraId="72D95F25" w14:textId="77777777">
              <w:trPr>
                <w:cantSplit/>
                <w:trHeight w:val="567"/>
                <w:jc w:val="center"/>
              </w:trPr>
              <w:tc>
                <w:tcPr>
                  <w:tcW w:w="1814" w:type="dxa"/>
                  <w:vAlign w:val="center"/>
                </w:tcPr>
                <w:p w14:paraId="531F7341" w14:textId="77777777" w:rsidR="008F265F" w:rsidRDefault="00A542E4">
                  <w:pPr>
                    <w:adjustRightInd w:val="0"/>
                    <w:snapToGrid w:val="0"/>
                    <w:rPr>
                      <w:rFonts w:ascii="宋体" w:eastAsia="仿宋_GB2312" w:hAnsi="宋体"/>
                      <w:kern w:val="0"/>
                      <w:sz w:val="20"/>
                      <w:szCs w:val="20"/>
                    </w:rPr>
                  </w:pPr>
                  <w:r>
                    <w:rPr>
                      <w:rFonts w:ascii="宋体" w:eastAsia="仿宋_GB2312" w:hAnsi="宋体" w:hint="eastAsia"/>
                      <w:sz w:val="20"/>
                      <w:szCs w:val="20"/>
                    </w:rPr>
                    <w:t>轻症疾病保险金</w:t>
                  </w:r>
                </w:p>
              </w:tc>
              <w:tc>
                <w:tcPr>
                  <w:tcW w:w="960" w:type="dxa"/>
                  <w:vAlign w:val="center"/>
                </w:tcPr>
                <w:p w14:paraId="78957467" w14:textId="77777777" w:rsidR="008F265F" w:rsidRDefault="00A542E4">
                  <w:pPr>
                    <w:adjustRightInd w:val="0"/>
                    <w:snapToGrid w:val="0"/>
                    <w:rPr>
                      <w:rFonts w:ascii="宋体" w:eastAsia="仿宋_GB2312" w:hAnsi="宋体"/>
                      <w:kern w:val="0"/>
                      <w:sz w:val="20"/>
                      <w:szCs w:val="20"/>
                    </w:rPr>
                  </w:pPr>
                  <w:r>
                    <w:rPr>
                      <w:rFonts w:ascii="宋体" w:eastAsia="仿宋_GB2312" w:hAnsi="宋体" w:hint="eastAsia"/>
                      <w:sz w:val="20"/>
                      <w:szCs w:val="20"/>
                    </w:rPr>
                    <w:t>小王</w:t>
                  </w:r>
                </w:p>
              </w:tc>
              <w:tc>
                <w:tcPr>
                  <w:tcW w:w="2329" w:type="dxa"/>
                  <w:vAlign w:val="center"/>
                </w:tcPr>
                <w:p w14:paraId="189F93EC"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14:paraId="3CFA8BFE" w14:textId="77777777" w:rsidR="008F265F" w:rsidRDefault="00A542E4">
                  <w:pPr>
                    <w:adjustRightInd w:val="0"/>
                    <w:snapToGrid w:val="0"/>
                    <w:rPr>
                      <w:rFonts w:ascii="宋体" w:eastAsia="仿宋_GB2312" w:hAnsi="宋体"/>
                      <w:kern w:val="0"/>
                      <w:sz w:val="20"/>
                      <w:szCs w:val="20"/>
                    </w:rPr>
                  </w:pPr>
                  <w:r>
                    <w:rPr>
                      <w:rFonts w:ascii="宋体" w:eastAsia="仿宋_GB2312" w:hAnsi="宋体" w:hint="eastAsia"/>
                      <w:sz w:val="20"/>
                      <w:szCs w:val="20"/>
                    </w:rPr>
                    <w:t>小王等待期后被初次确诊发生本主险合同中的轻症疾病“恶性肿瘤——轻度”</w:t>
                  </w:r>
                </w:p>
              </w:tc>
            </w:tr>
            <w:tr w:rsidR="008F265F" w14:paraId="0EB51E80" w14:textId="77777777">
              <w:trPr>
                <w:cantSplit/>
                <w:trHeight w:val="567"/>
                <w:jc w:val="center"/>
              </w:trPr>
              <w:tc>
                <w:tcPr>
                  <w:tcW w:w="1814" w:type="dxa"/>
                  <w:vAlign w:val="center"/>
                </w:tcPr>
                <w:p w14:paraId="18240069"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轻症</w:t>
                  </w:r>
                  <w:r>
                    <w:rPr>
                      <w:rFonts w:ascii="宋体" w:eastAsia="仿宋_GB2312" w:hAnsi="宋体"/>
                      <w:sz w:val="20"/>
                      <w:szCs w:val="20"/>
                    </w:rPr>
                    <w:t>疾病关爱保险金</w:t>
                  </w:r>
                </w:p>
              </w:tc>
              <w:tc>
                <w:tcPr>
                  <w:tcW w:w="960" w:type="dxa"/>
                  <w:vAlign w:val="center"/>
                </w:tcPr>
                <w:p w14:paraId="38307A43"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36CF2612"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sz w:val="20"/>
                      <w:szCs w:val="20"/>
                    </w:rPr>
                    <w:t>10%=3</w:t>
                  </w:r>
                  <w:r>
                    <w:rPr>
                      <w:rFonts w:ascii="宋体" w:eastAsia="仿宋_GB2312" w:hAnsi="宋体" w:hint="eastAsia"/>
                      <w:sz w:val="20"/>
                      <w:szCs w:val="20"/>
                    </w:rPr>
                    <w:t>万元</w:t>
                  </w:r>
                </w:p>
              </w:tc>
              <w:tc>
                <w:tcPr>
                  <w:tcW w:w="3990" w:type="dxa"/>
                  <w:vAlign w:val="center"/>
                </w:tcPr>
                <w:p w14:paraId="43F45030"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小王等待期后被初次确诊发生本主险合同中的轻症疾病“恶性肿瘤——轻度”，且到达年龄小于</w:t>
                  </w:r>
                  <w:r>
                    <w:rPr>
                      <w:rFonts w:ascii="宋体" w:eastAsia="仿宋_GB2312" w:hAnsi="宋体" w:hint="eastAsia"/>
                      <w:sz w:val="20"/>
                      <w:szCs w:val="20"/>
                    </w:rPr>
                    <w:t>6</w:t>
                  </w:r>
                  <w:r>
                    <w:rPr>
                      <w:rFonts w:ascii="宋体" w:eastAsia="仿宋_GB2312" w:hAnsi="宋体"/>
                      <w:sz w:val="20"/>
                      <w:szCs w:val="20"/>
                    </w:rPr>
                    <w:t>0</w:t>
                  </w:r>
                  <w:r>
                    <w:rPr>
                      <w:rFonts w:ascii="宋体" w:eastAsia="仿宋_GB2312" w:hAnsi="宋体"/>
                      <w:sz w:val="20"/>
                      <w:szCs w:val="20"/>
                    </w:rPr>
                    <w:t>岁</w:t>
                  </w:r>
                </w:p>
              </w:tc>
            </w:tr>
            <w:tr w:rsidR="008F265F" w14:paraId="357D96DD" w14:textId="77777777">
              <w:trPr>
                <w:cantSplit/>
                <w:trHeight w:val="567"/>
                <w:jc w:val="center"/>
              </w:trPr>
              <w:tc>
                <w:tcPr>
                  <w:tcW w:w="1814" w:type="dxa"/>
                  <w:vAlign w:val="center"/>
                </w:tcPr>
                <w:p w14:paraId="555FDEE7"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豁免保险费</w:t>
                  </w:r>
                </w:p>
              </w:tc>
              <w:tc>
                <w:tcPr>
                  <w:tcW w:w="960" w:type="dxa"/>
                  <w:vAlign w:val="center"/>
                </w:tcPr>
                <w:p w14:paraId="59F72BEB"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w:t>
                  </w:r>
                </w:p>
              </w:tc>
              <w:tc>
                <w:tcPr>
                  <w:tcW w:w="2329" w:type="dxa"/>
                  <w:vAlign w:val="center"/>
                </w:tcPr>
                <w:p w14:paraId="7A5CB4B4"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豁免本主险合同剩余各期应交纳的保险费</w:t>
                  </w:r>
                </w:p>
              </w:tc>
              <w:tc>
                <w:tcPr>
                  <w:tcW w:w="3990" w:type="dxa"/>
                  <w:vAlign w:val="center"/>
                </w:tcPr>
                <w:p w14:paraId="518D5187"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小王等待期后被初次确诊发生本主险合同中的轻症疾病“恶性肿瘤——轻度”</w:t>
                  </w:r>
                </w:p>
              </w:tc>
            </w:tr>
            <w:tr w:rsidR="008F265F" w14:paraId="67645908" w14:textId="77777777">
              <w:trPr>
                <w:cantSplit/>
                <w:trHeight w:val="567"/>
                <w:jc w:val="center"/>
              </w:trPr>
              <w:tc>
                <w:tcPr>
                  <w:tcW w:w="1814" w:type="dxa"/>
                  <w:vAlign w:val="center"/>
                </w:tcPr>
                <w:p w14:paraId="2E116890"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轻症疾病保险金</w:t>
                  </w:r>
                </w:p>
              </w:tc>
              <w:tc>
                <w:tcPr>
                  <w:tcW w:w="960" w:type="dxa"/>
                  <w:vAlign w:val="center"/>
                </w:tcPr>
                <w:p w14:paraId="6CE532B4"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2FD70DCA"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14:paraId="6838D586"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小王等待期后被初次确诊发生本主险合同中的轻症疾病“较轻急性心肌梗死”</w:t>
                  </w:r>
                </w:p>
              </w:tc>
            </w:tr>
            <w:tr w:rsidR="008F265F" w14:paraId="7BC07040" w14:textId="77777777">
              <w:trPr>
                <w:cantSplit/>
                <w:trHeight w:val="567"/>
                <w:jc w:val="center"/>
              </w:trPr>
              <w:tc>
                <w:tcPr>
                  <w:tcW w:w="1814" w:type="dxa"/>
                  <w:vAlign w:val="center"/>
                </w:tcPr>
                <w:p w14:paraId="0FB88291"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轻症疾病保险金</w:t>
                  </w:r>
                </w:p>
              </w:tc>
              <w:tc>
                <w:tcPr>
                  <w:tcW w:w="960" w:type="dxa"/>
                  <w:vAlign w:val="center"/>
                </w:tcPr>
                <w:p w14:paraId="3475B56A"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22BD7AF4"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14:paraId="5A229524"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小王等待期后被初次确诊发生本主险合同中的轻症疾病“轻度脑中风后遗症”</w:t>
                  </w:r>
                </w:p>
              </w:tc>
            </w:tr>
            <w:tr w:rsidR="008F265F" w14:paraId="38B44F3E" w14:textId="77777777">
              <w:trPr>
                <w:cantSplit/>
                <w:trHeight w:val="567"/>
                <w:jc w:val="center"/>
              </w:trPr>
              <w:tc>
                <w:tcPr>
                  <w:tcW w:w="1814" w:type="dxa"/>
                  <w:vAlign w:val="center"/>
                </w:tcPr>
                <w:p w14:paraId="209F2FDA"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轻症疾病保险金</w:t>
                  </w:r>
                </w:p>
              </w:tc>
              <w:tc>
                <w:tcPr>
                  <w:tcW w:w="960" w:type="dxa"/>
                  <w:vAlign w:val="center"/>
                </w:tcPr>
                <w:p w14:paraId="15FB878E"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6D8BFF64"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14:paraId="2ED190FF"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小王等待期后被初次确诊发生本主险合同中的轻症疾病“轻度面部烧伤”</w:t>
                  </w:r>
                </w:p>
              </w:tc>
            </w:tr>
            <w:tr w:rsidR="008F265F" w14:paraId="42852B5C" w14:textId="77777777">
              <w:trPr>
                <w:cantSplit/>
                <w:trHeight w:val="567"/>
                <w:jc w:val="center"/>
              </w:trPr>
              <w:tc>
                <w:tcPr>
                  <w:tcW w:w="1814" w:type="dxa"/>
                  <w:vAlign w:val="center"/>
                </w:tcPr>
                <w:p w14:paraId="7850D7BC"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中症疾病保险金</w:t>
                  </w:r>
                </w:p>
              </w:tc>
              <w:tc>
                <w:tcPr>
                  <w:tcW w:w="960" w:type="dxa"/>
                  <w:vAlign w:val="center"/>
                </w:tcPr>
                <w:p w14:paraId="50713BCF"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23105F6C"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60%=18</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14:paraId="4629894D"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小王等待期后被初次确诊发生本主险合同中的中症疾病“中度溃疡性结肠炎”</w:t>
                  </w:r>
                  <w:r>
                    <w:rPr>
                      <w:rFonts w:ascii="宋体" w:eastAsia="仿宋_GB2312" w:hAnsi="宋体"/>
                      <w:sz w:val="20"/>
                      <w:szCs w:val="20"/>
                    </w:rPr>
                    <w:t xml:space="preserve"> </w:t>
                  </w:r>
                </w:p>
              </w:tc>
            </w:tr>
            <w:tr w:rsidR="008F265F" w14:paraId="67906075" w14:textId="77777777">
              <w:trPr>
                <w:cantSplit/>
                <w:trHeight w:val="567"/>
                <w:jc w:val="center"/>
              </w:trPr>
              <w:tc>
                <w:tcPr>
                  <w:tcW w:w="1814" w:type="dxa"/>
                  <w:vAlign w:val="center"/>
                </w:tcPr>
                <w:p w14:paraId="09DD40D7"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中症</w:t>
                  </w:r>
                  <w:r>
                    <w:rPr>
                      <w:rFonts w:ascii="宋体" w:eastAsia="仿宋_GB2312" w:hAnsi="宋体"/>
                      <w:sz w:val="20"/>
                      <w:szCs w:val="20"/>
                    </w:rPr>
                    <w:t>疾病关爱保险金</w:t>
                  </w:r>
                </w:p>
              </w:tc>
              <w:tc>
                <w:tcPr>
                  <w:tcW w:w="960" w:type="dxa"/>
                  <w:vAlign w:val="center"/>
                </w:tcPr>
                <w:p w14:paraId="080D3879"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7E3C2E8E"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sz w:val="20"/>
                      <w:szCs w:val="20"/>
                    </w:rPr>
                    <w:t>20%=6</w:t>
                  </w:r>
                  <w:r>
                    <w:rPr>
                      <w:rFonts w:ascii="宋体" w:eastAsia="仿宋_GB2312" w:hAnsi="宋体" w:hint="eastAsia"/>
                      <w:sz w:val="20"/>
                      <w:szCs w:val="20"/>
                    </w:rPr>
                    <w:t>万元</w:t>
                  </w:r>
                </w:p>
              </w:tc>
              <w:tc>
                <w:tcPr>
                  <w:tcW w:w="3990" w:type="dxa"/>
                  <w:vAlign w:val="center"/>
                </w:tcPr>
                <w:p w14:paraId="65D2EB0E"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小王等待期后被初次确诊发生本主险合同中的中症疾病“中度溃疡性结肠炎”，且到达年龄小于</w:t>
                  </w:r>
                  <w:r>
                    <w:rPr>
                      <w:rFonts w:ascii="宋体" w:eastAsia="仿宋_GB2312" w:hAnsi="宋体" w:hint="eastAsia"/>
                      <w:sz w:val="20"/>
                      <w:szCs w:val="20"/>
                    </w:rPr>
                    <w:t>6</w:t>
                  </w:r>
                  <w:r>
                    <w:rPr>
                      <w:rFonts w:ascii="宋体" w:eastAsia="仿宋_GB2312" w:hAnsi="宋体"/>
                      <w:sz w:val="20"/>
                      <w:szCs w:val="20"/>
                    </w:rPr>
                    <w:t>0</w:t>
                  </w:r>
                  <w:r>
                    <w:rPr>
                      <w:rFonts w:ascii="宋体" w:eastAsia="仿宋_GB2312" w:hAnsi="宋体"/>
                      <w:sz w:val="20"/>
                      <w:szCs w:val="20"/>
                    </w:rPr>
                    <w:t>岁</w:t>
                  </w:r>
                </w:p>
              </w:tc>
            </w:tr>
            <w:tr w:rsidR="008F265F" w14:paraId="73B68D43" w14:textId="77777777">
              <w:trPr>
                <w:cantSplit/>
                <w:trHeight w:val="575"/>
                <w:jc w:val="center"/>
              </w:trPr>
              <w:tc>
                <w:tcPr>
                  <w:tcW w:w="1814" w:type="dxa"/>
                  <w:vAlign w:val="center"/>
                </w:tcPr>
                <w:p w14:paraId="28D169AF"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重大疾病</w:t>
                  </w:r>
                  <w:r>
                    <w:rPr>
                      <w:rFonts w:ascii="宋体" w:eastAsia="仿宋_GB2312" w:hAnsi="宋体" w:hint="eastAsia"/>
                      <w:sz w:val="20"/>
                      <w:szCs w:val="20"/>
                    </w:rPr>
                    <w:t>保险金</w:t>
                  </w:r>
                </w:p>
              </w:tc>
              <w:tc>
                <w:tcPr>
                  <w:tcW w:w="960" w:type="dxa"/>
                  <w:vAlign w:val="center"/>
                </w:tcPr>
                <w:p w14:paraId="04D017C0"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3E2BC491"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hint="eastAsia"/>
                      <w:sz w:val="20"/>
                      <w:szCs w:val="20"/>
                    </w:rPr>
                    <w:t>1</w:t>
                  </w:r>
                  <w:r>
                    <w:rPr>
                      <w:rFonts w:ascii="宋体" w:eastAsia="仿宋_GB2312" w:hAnsi="宋体"/>
                      <w:sz w:val="20"/>
                      <w:szCs w:val="20"/>
                    </w:rPr>
                    <w:t>00</w:t>
                  </w:r>
                  <w:r>
                    <w:rPr>
                      <w:rFonts w:ascii="宋体" w:eastAsia="仿宋_GB2312" w:hAnsi="宋体" w:hint="eastAsia"/>
                      <w:sz w:val="20"/>
                      <w:szCs w:val="20"/>
                    </w:rPr>
                    <w:t>%=</w:t>
                  </w:r>
                  <w:r>
                    <w:rPr>
                      <w:rFonts w:ascii="宋体" w:eastAsia="仿宋_GB2312" w:hAnsi="宋体"/>
                      <w:sz w:val="20"/>
                      <w:szCs w:val="20"/>
                    </w:rPr>
                    <w:t>30</w:t>
                  </w:r>
                  <w:r>
                    <w:rPr>
                      <w:rFonts w:ascii="宋体" w:eastAsia="仿宋_GB2312" w:hAnsi="宋体" w:hint="eastAsia"/>
                      <w:sz w:val="20"/>
                      <w:szCs w:val="20"/>
                    </w:rPr>
                    <w:t>万元</w:t>
                  </w:r>
                </w:p>
              </w:tc>
              <w:tc>
                <w:tcPr>
                  <w:tcW w:w="3990" w:type="dxa"/>
                  <w:vAlign w:val="center"/>
                </w:tcPr>
                <w:p w14:paraId="3020C1C6"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小王等待期后被初次确诊发生本主险合同中的原发于淋巴组织的重大疾病“恶性肿瘤——重度”（淋巴瘤）</w:t>
                  </w:r>
                </w:p>
              </w:tc>
            </w:tr>
            <w:tr w:rsidR="008F265F" w14:paraId="1C869F84" w14:textId="77777777">
              <w:trPr>
                <w:cantSplit/>
                <w:trHeight w:val="624"/>
                <w:jc w:val="center"/>
              </w:trPr>
              <w:tc>
                <w:tcPr>
                  <w:tcW w:w="1814" w:type="dxa"/>
                  <w:vAlign w:val="center"/>
                </w:tcPr>
                <w:p w14:paraId="3D56365B"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重大疾病关爱保险金</w:t>
                  </w:r>
                </w:p>
              </w:tc>
              <w:tc>
                <w:tcPr>
                  <w:tcW w:w="960" w:type="dxa"/>
                  <w:vAlign w:val="center"/>
                </w:tcPr>
                <w:p w14:paraId="2F701401"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79BC471F"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sz w:val="20"/>
                      <w:szCs w:val="20"/>
                    </w:rPr>
                    <w:t>60%=18</w:t>
                  </w:r>
                  <w:r>
                    <w:rPr>
                      <w:rFonts w:ascii="宋体" w:eastAsia="仿宋_GB2312" w:hAnsi="宋体" w:hint="eastAsia"/>
                      <w:sz w:val="20"/>
                      <w:szCs w:val="20"/>
                    </w:rPr>
                    <w:t>万元</w:t>
                  </w:r>
                </w:p>
              </w:tc>
              <w:tc>
                <w:tcPr>
                  <w:tcW w:w="3990" w:type="dxa"/>
                  <w:vAlign w:val="center"/>
                </w:tcPr>
                <w:p w14:paraId="47016B85"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小王等待期后被初次确诊发生本主险合同中的原发于淋巴组织的重大疾病“恶性肿瘤——重度”（淋巴瘤），且到达年龄小于</w:t>
                  </w:r>
                  <w:r>
                    <w:rPr>
                      <w:rFonts w:ascii="宋体" w:eastAsia="仿宋_GB2312" w:hAnsi="宋体" w:hint="eastAsia"/>
                      <w:sz w:val="20"/>
                      <w:szCs w:val="20"/>
                    </w:rPr>
                    <w:t>6</w:t>
                  </w:r>
                  <w:r>
                    <w:rPr>
                      <w:rFonts w:ascii="宋体" w:eastAsia="仿宋_GB2312" w:hAnsi="宋体"/>
                      <w:sz w:val="20"/>
                      <w:szCs w:val="20"/>
                    </w:rPr>
                    <w:t>0</w:t>
                  </w:r>
                  <w:r>
                    <w:rPr>
                      <w:rFonts w:ascii="宋体" w:eastAsia="仿宋_GB2312" w:hAnsi="宋体"/>
                      <w:sz w:val="20"/>
                      <w:szCs w:val="20"/>
                    </w:rPr>
                    <w:t>岁</w:t>
                  </w:r>
                </w:p>
              </w:tc>
            </w:tr>
            <w:tr w:rsidR="008F265F" w14:paraId="037DD6A0" w14:textId="77777777">
              <w:trPr>
                <w:cantSplit/>
                <w:trHeight w:val="624"/>
                <w:jc w:val="center"/>
              </w:trPr>
              <w:tc>
                <w:tcPr>
                  <w:tcW w:w="1814" w:type="dxa"/>
                  <w:vAlign w:val="center"/>
                </w:tcPr>
                <w:p w14:paraId="73A24864"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少儿特定疾病关爱保险金</w:t>
                  </w:r>
                </w:p>
              </w:tc>
              <w:tc>
                <w:tcPr>
                  <w:tcW w:w="960" w:type="dxa"/>
                  <w:vAlign w:val="center"/>
                </w:tcPr>
                <w:p w14:paraId="33C0226F"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6CF5CAC6"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3</w:t>
                  </w:r>
                  <w:r>
                    <w:rPr>
                      <w:rFonts w:ascii="宋体" w:eastAsia="仿宋_GB2312" w:hAnsi="宋体"/>
                      <w:sz w:val="20"/>
                      <w:szCs w:val="20"/>
                    </w:rPr>
                    <w:t>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hint="eastAsia"/>
                      <w:sz w:val="20"/>
                      <w:szCs w:val="20"/>
                    </w:rPr>
                    <w:t>1</w:t>
                  </w:r>
                  <w:r>
                    <w:rPr>
                      <w:rFonts w:ascii="宋体" w:eastAsia="仿宋_GB2312" w:hAnsi="宋体"/>
                      <w:sz w:val="20"/>
                      <w:szCs w:val="20"/>
                    </w:rPr>
                    <w:t>20</w:t>
                  </w:r>
                  <w:r>
                    <w:rPr>
                      <w:rFonts w:ascii="宋体" w:eastAsia="仿宋_GB2312" w:hAnsi="宋体" w:hint="eastAsia"/>
                      <w:sz w:val="20"/>
                      <w:szCs w:val="20"/>
                    </w:rPr>
                    <w:t>%=</w:t>
                  </w:r>
                  <w:r>
                    <w:rPr>
                      <w:rFonts w:ascii="宋体" w:eastAsia="仿宋_GB2312" w:hAnsi="宋体"/>
                      <w:sz w:val="20"/>
                      <w:szCs w:val="20"/>
                    </w:rPr>
                    <w:t>36</w:t>
                  </w:r>
                  <w:r>
                    <w:rPr>
                      <w:rFonts w:ascii="宋体" w:eastAsia="仿宋_GB2312" w:hAnsi="宋体"/>
                      <w:sz w:val="20"/>
                      <w:szCs w:val="20"/>
                    </w:rPr>
                    <w:t>万元</w:t>
                  </w:r>
                </w:p>
              </w:tc>
              <w:tc>
                <w:tcPr>
                  <w:tcW w:w="3990" w:type="dxa"/>
                  <w:vAlign w:val="center"/>
                </w:tcPr>
                <w:p w14:paraId="2C70EE97"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小王等待期后被初次确诊发生本主险合同中的</w:t>
                  </w:r>
                  <w:r>
                    <w:rPr>
                      <w:rFonts w:ascii="宋体" w:eastAsia="仿宋_GB2312" w:hAnsi="宋体" w:hint="eastAsia"/>
                      <w:sz w:val="20"/>
                      <w:szCs w:val="20"/>
                    </w:rPr>
                    <w:t>少儿特定疾病“淋巴瘤”，</w:t>
                  </w:r>
                  <w:r>
                    <w:rPr>
                      <w:rFonts w:ascii="宋体" w:eastAsia="仿宋_GB2312" w:hAnsi="宋体"/>
                      <w:sz w:val="20"/>
                      <w:szCs w:val="20"/>
                    </w:rPr>
                    <w:t>且</w:t>
                  </w:r>
                  <w:r>
                    <w:rPr>
                      <w:rFonts w:ascii="宋体" w:eastAsia="仿宋_GB2312" w:hAnsi="宋体" w:hint="eastAsia"/>
                      <w:sz w:val="20"/>
                      <w:szCs w:val="20"/>
                    </w:rPr>
                    <w:t>我们已针对该少儿特定疾病给付了重大疾病保险金</w:t>
                  </w:r>
                </w:p>
              </w:tc>
            </w:tr>
            <w:tr w:rsidR="008F265F" w14:paraId="75AF8E59" w14:textId="77777777">
              <w:trPr>
                <w:cantSplit/>
                <w:trHeight w:val="624"/>
                <w:jc w:val="center"/>
              </w:trPr>
              <w:tc>
                <w:tcPr>
                  <w:tcW w:w="1814" w:type="dxa"/>
                  <w:vAlign w:val="center"/>
                </w:tcPr>
                <w:p w14:paraId="0D9F5B58"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轻症疾病保险金</w:t>
                  </w:r>
                </w:p>
              </w:tc>
              <w:tc>
                <w:tcPr>
                  <w:tcW w:w="960" w:type="dxa"/>
                  <w:vAlign w:val="center"/>
                </w:tcPr>
                <w:p w14:paraId="358000AF"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0AA6F884"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14:paraId="4298A99C"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自重大疾病“恶性肿瘤——重度”确诊日起满</w:t>
                  </w:r>
                  <w:r>
                    <w:rPr>
                      <w:rFonts w:ascii="宋体" w:eastAsia="仿宋_GB2312" w:hAnsi="宋体"/>
                      <w:sz w:val="20"/>
                      <w:szCs w:val="20"/>
                    </w:rPr>
                    <w:t>90</w:t>
                  </w:r>
                  <w:r>
                    <w:rPr>
                      <w:rFonts w:ascii="宋体" w:eastAsia="仿宋_GB2312" w:hAnsi="宋体" w:hint="eastAsia"/>
                      <w:sz w:val="20"/>
                      <w:szCs w:val="20"/>
                    </w:rPr>
                    <w:t>日后，小王等待期后被初次确诊发生本主险合同中的轻症疾病“角膜移植术”</w:t>
                  </w:r>
                </w:p>
              </w:tc>
            </w:tr>
            <w:tr w:rsidR="008F265F" w14:paraId="2639B5CE" w14:textId="77777777">
              <w:trPr>
                <w:cantSplit/>
                <w:trHeight w:val="624"/>
                <w:jc w:val="center"/>
              </w:trPr>
              <w:tc>
                <w:tcPr>
                  <w:tcW w:w="1814" w:type="dxa"/>
                  <w:vAlign w:val="center"/>
                </w:tcPr>
                <w:p w14:paraId="6AF4F3E0"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中症疾病保险金</w:t>
                  </w:r>
                </w:p>
              </w:tc>
              <w:tc>
                <w:tcPr>
                  <w:tcW w:w="960" w:type="dxa"/>
                  <w:vAlign w:val="center"/>
                </w:tcPr>
                <w:p w14:paraId="523CC8D7"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00F1D2AD"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60%=18</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14:paraId="582BDFE8"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自重大疾病“恶性肿瘤——重度”确诊日起满</w:t>
                  </w:r>
                  <w:r>
                    <w:rPr>
                      <w:rFonts w:ascii="宋体" w:eastAsia="仿宋_GB2312" w:hAnsi="宋体"/>
                      <w:sz w:val="20"/>
                      <w:szCs w:val="20"/>
                    </w:rPr>
                    <w:t>90</w:t>
                  </w:r>
                  <w:r>
                    <w:rPr>
                      <w:rFonts w:ascii="宋体" w:eastAsia="仿宋_GB2312" w:hAnsi="宋体" w:hint="eastAsia"/>
                      <w:sz w:val="20"/>
                      <w:szCs w:val="20"/>
                    </w:rPr>
                    <w:t>日后，小王等待期后被初次确诊发生本主险合同中的中症疾病“中度脑损伤”</w:t>
                  </w:r>
                </w:p>
              </w:tc>
            </w:tr>
            <w:tr w:rsidR="008F265F" w14:paraId="797BBC56" w14:textId="77777777">
              <w:trPr>
                <w:cantSplit/>
                <w:trHeight w:val="907"/>
                <w:jc w:val="center"/>
              </w:trPr>
              <w:tc>
                <w:tcPr>
                  <w:tcW w:w="1814" w:type="dxa"/>
                  <w:vAlign w:val="center"/>
                </w:tcPr>
                <w:p w14:paraId="0F005BB5" w14:textId="77777777" w:rsidR="008F265F" w:rsidRDefault="00A542E4">
                  <w:pPr>
                    <w:adjustRightInd w:val="0"/>
                    <w:snapToGrid w:val="0"/>
                    <w:rPr>
                      <w:rFonts w:ascii="宋体" w:eastAsia="仿宋_GB2312" w:hAnsi="宋体"/>
                      <w:sz w:val="20"/>
                      <w:szCs w:val="20"/>
                    </w:rPr>
                  </w:pPr>
                  <w:r>
                    <w:rPr>
                      <w:rFonts w:ascii="宋体" w:eastAsia="仿宋_GB2312" w:hAnsi="宋体" w:hint="eastAsia"/>
                      <w:szCs w:val="21"/>
                    </w:rPr>
                    <w:t>重大疾病多次给付保险金</w:t>
                  </w:r>
                </w:p>
              </w:tc>
              <w:tc>
                <w:tcPr>
                  <w:tcW w:w="960" w:type="dxa"/>
                  <w:vAlign w:val="center"/>
                </w:tcPr>
                <w:p w14:paraId="1BCAE741"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52165A71"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120</w:t>
                  </w:r>
                  <w:r>
                    <w:rPr>
                      <w:rFonts w:ascii="宋体" w:eastAsia="仿宋_GB2312" w:hAnsi="宋体" w:hint="eastAsia"/>
                      <w:sz w:val="20"/>
                      <w:szCs w:val="20"/>
                    </w:rPr>
                    <w:t>%=</w:t>
                  </w:r>
                  <w:r>
                    <w:rPr>
                      <w:rFonts w:ascii="宋体" w:eastAsia="仿宋_GB2312" w:hAnsi="宋体"/>
                      <w:sz w:val="20"/>
                      <w:szCs w:val="20"/>
                    </w:rPr>
                    <w:t>36</w:t>
                  </w:r>
                  <w:r>
                    <w:rPr>
                      <w:rFonts w:ascii="宋体" w:eastAsia="仿宋_GB2312" w:hAnsi="宋体"/>
                      <w:sz w:val="20"/>
                      <w:szCs w:val="20"/>
                    </w:rPr>
                    <w:t>万元</w:t>
                  </w:r>
                </w:p>
              </w:tc>
              <w:tc>
                <w:tcPr>
                  <w:tcW w:w="3990" w:type="dxa"/>
                  <w:vAlign w:val="center"/>
                </w:tcPr>
                <w:p w14:paraId="3E9872DF"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自重大疾病“恶性肿瘤——重度”确诊日起满</w:t>
                  </w:r>
                  <w:r>
                    <w:rPr>
                      <w:rFonts w:ascii="宋体" w:eastAsia="仿宋_GB2312" w:hAnsi="宋体" w:hint="eastAsia"/>
                      <w:sz w:val="20"/>
                      <w:szCs w:val="20"/>
                    </w:rPr>
                    <w:t>1</w:t>
                  </w:r>
                  <w:r>
                    <w:rPr>
                      <w:rFonts w:ascii="宋体" w:eastAsia="仿宋_GB2312" w:hAnsi="宋体" w:hint="eastAsia"/>
                      <w:sz w:val="20"/>
                      <w:szCs w:val="20"/>
                    </w:rPr>
                    <w:t>年及以后，且我们已针对该重大疾病给付了重大疾病保险金，小王被初次确诊发生本主险合同中的重大疾病“肺淋巴管肌瘤病”</w:t>
                  </w:r>
                </w:p>
              </w:tc>
            </w:tr>
            <w:tr w:rsidR="008F265F" w14:paraId="49F09877" w14:textId="77777777">
              <w:trPr>
                <w:cantSplit/>
                <w:trHeight w:val="907"/>
                <w:jc w:val="center"/>
              </w:trPr>
              <w:tc>
                <w:tcPr>
                  <w:tcW w:w="1814" w:type="dxa"/>
                  <w:vAlign w:val="center"/>
                </w:tcPr>
                <w:p w14:paraId="1AF51B97" w14:textId="77777777" w:rsidR="008F265F" w:rsidRDefault="00A542E4">
                  <w:pPr>
                    <w:adjustRightInd w:val="0"/>
                    <w:snapToGrid w:val="0"/>
                    <w:rPr>
                      <w:rFonts w:ascii="宋体" w:eastAsia="仿宋_GB2312" w:hAnsi="宋体"/>
                      <w:szCs w:val="21"/>
                    </w:rPr>
                  </w:pPr>
                  <w:r>
                    <w:rPr>
                      <w:rFonts w:ascii="宋体" w:eastAsia="仿宋_GB2312" w:hAnsi="宋体" w:hint="eastAsia"/>
                      <w:sz w:val="20"/>
                      <w:szCs w:val="20"/>
                    </w:rPr>
                    <w:t>少儿罕见疾病关爱保险金</w:t>
                  </w:r>
                </w:p>
              </w:tc>
              <w:tc>
                <w:tcPr>
                  <w:tcW w:w="960" w:type="dxa"/>
                  <w:vAlign w:val="center"/>
                </w:tcPr>
                <w:p w14:paraId="48303C82"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7D8E1A18"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3</w:t>
                  </w:r>
                  <w:r>
                    <w:rPr>
                      <w:rFonts w:ascii="宋体" w:eastAsia="仿宋_GB2312" w:hAnsi="宋体"/>
                      <w:sz w:val="20"/>
                      <w:szCs w:val="20"/>
                    </w:rPr>
                    <w:t>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sz w:val="20"/>
                      <w:szCs w:val="20"/>
                    </w:rPr>
                    <w:t>200</w:t>
                  </w:r>
                  <w:r>
                    <w:rPr>
                      <w:rFonts w:ascii="宋体" w:eastAsia="仿宋_GB2312" w:hAnsi="宋体" w:hint="eastAsia"/>
                      <w:sz w:val="20"/>
                      <w:szCs w:val="20"/>
                    </w:rPr>
                    <w:t>%=</w:t>
                  </w:r>
                  <w:r>
                    <w:rPr>
                      <w:rFonts w:ascii="宋体" w:eastAsia="仿宋_GB2312" w:hAnsi="宋体"/>
                      <w:sz w:val="20"/>
                      <w:szCs w:val="20"/>
                    </w:rPr>
                    <w:t>60</w:t>
                  </w:r>
                  <w:r>
                    <w:rPr>
                      <w:rFonts w:ascii="宋体" w:eastAsia="仿宋_GB2312" w:hAnsi="宋体"/>
                      <w:sz w:val="20"/>
                      <w:szCs w:val="20"/>
                    </w:rPr>
                    <w:t>万元</w:t>
                  </w:r>
                </w:p>
              </w:tc>
              <w:tc>
                <w:tcPr>
                  <w:tcW w:w="3990" w:type="dxa"/>
                  <w:vAlign w:val="center"/>
                </w:tcPr>
                <w:p w14:paraId="4F8C06E0"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小王等待期后被初次确诊发生本主险合同中的</w:t>
                  </w:r>
                  <w:r>
                    <w:rPr>
                      <w:rFonts w:ascii="宋体" w:eastAsia="仿宋_GB2312" w:hAnsi="宋体" w:hint="eastAsia"/>
                      <w:sz w:val="20"/>
                      <w:szCs w:val="20"/>
                    </w:rPr>
                    <w:t>少儿罕见疾病“肺淋巴管肌瘤病”，</w:t>
                  </w:r>
                  <w:r>
                    <w:rPr>
                      <w:rFonts w:ascii="宋体" w:eastAsia="仿宋_GB2312" w:hAnsi="宋体"/>
                      <w:sz w:val="20"/>
                      <w:szCs w:val="20"/>
                    </w:rPr>
                    <w:t>且</w:t>
                  </w:r>
                  <w:r>
                    <w:rPr>
                      <w:rFonts w:ascii="宋体" w:eastAsia="仿宋_GB2312" w:hAnsi="宋体" w:hint="eastAsia"/>
                      <w:sz w:val="20"/>
                      <w:szCs w:val="20"/>
                    </w:rPr>
                    <w:t>我们已针对该少儿罕见疾病给付了第二次重大疾病保险金</w:t>
                  </w:r>
                </w:p>
              </w:tc>
            </w:tr>
            <w:tr w:rsidR="008F265F" w14:paraId="480193EF" w14:textId="77777777">
              <w:trPr>
                <w:cantSplit/>
                <w:trHeight w:val="907"/>
                <w:jc w:val="center"/>
              </w:trPr>
              <w:tc>
                <w:tcPr>
                  <w:tcW w:w="1814" w:type="dxa"/>
                  <w:vAlign w:val="center"/>
                </w:tcPr>
                <w:p w14:paraId="2E15E5F2" w14:textId="77777777" w:rsidR="008F265F" w:rsidRDefault="00A542E4">
                  <w:pPr>
                    <w:adjustRightInd w:val="0"/>
                    <w:snapToGrid w:val="0"/>
                    <w:rPr>
                      <w:rFonts w:ascii="宋体" w:eastAsia="仿宋_GB2312" w:hAnsi="宋体"/>
                      <w:sz w:val="20"/>
                      <w:szCs w:val="20"/>
                    </w:rPr>
                  </w:pPr>
                  <w:r>
                    <w:rPr>
                      <w:rFonts w:ascii="宋体" w:eastAsia="仿宋_GB2312" w:hAnsi="宋体" w:hint="eastAsia"/>
                      <w:szCs w:val="21"/>
                    </w:rPr>
                    <w:lastRenderedPageBreak/>
                    <w:t>“恶性肿瘤——重度”关爱保险金</w:t>
                  </w:r>
                </w:p>
              </w:tc>
              <w:tc>
                <w:tcPr>
                  <w:tcW w:w="960" w:type="dxa"/>
                  <w:vAlign w:val="center"/>
                </w:tcPr>
                <w:p w14:paraId="19235127"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14:paraId="7AED0FA5"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hint="eastAsia"/>
                      <w:sz w:val="20"/>
                      <w:szCs w:val="20"/>
                    </w:rPr>
                    <w:t>1</w:t>
                  </w:r>
                  <w:r>
                    <w:rPr>
                      <w:rFonts w:ascii="宋体" w:eastAsia="仿宋_GB2312" w:hAnsi="宋体"/>
                      <w:sz w:val="20"/>
                      <w:szCs w:val="20"/>
                    </w:rPr>
                    <w:t>20</w:t>
                  </w:r>
                  <w:r>
                    <w:rPr>
                      <w:rFonts w:ascii="宋体" w:eastAsia="仿宋_GB2312" w:hAnsi="宋体" w:hint="eastAsia"/>
                      <w:sz w:val="20"/>
                      <w:szCs w:val="20"/>
                    </w:rPr>
                    <w:t>%=</w:t>
                  </w:r>
                  <w:r>
                    <w:rPr>
                      <w:rFonts w:ascii="宋体" w:eastAsia="仿宋_GB2312" w:hAnsi="宋体"/>
                      <w:sz w:val="20"/>
                      <w:szCs w:val="20"/>
                    </w:rPr>
                    <w:t>36</w:t>
                  </w:r>
                  <w:r>
                    <w:rPr>
                      <w:rFonts w:ascii="宋体" w:eastAsia="仿宋_GB2312" w:hAnsi="宋体" w:hint="eastAsia"/>
                      <w:sz w:val="20"/>
                      <w:szCs w:val="20"/>
                    </w:rPr>
                    <w:t>万元</w:t>
                  </w:r>
                </w:p>
              </w:tc>
              <w:tc>
                <w:tcPr>
                  <w:tcW w:w="3990" w:type="dxa"/>
                  <w:vAlign w:val="center"/>
                </w:tcPr>
                <w:p w14:paraId="737E1BE8"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自“恶性肿瘤——重度”确诊日起满</w:t>
                  </w:r>
                  <w:r>
                    <w:rPr>
                      <w:rFonts w:ascii="宋体" w:eastAsia="仿宋_GB2312" w:hAnsi="宋体"/>
                      <w:sz w:val="20"/>
                      <w:szCs w:val="20"/>
                    </w:rPr>
                    <w:t>3</w:t>
                  </w:r>
                  <w:r>
                    <w:rPr>
                      <w:rFonts w:ascii="宋体" w:eastAsia="仿宋_GB2312" w:hAnsi="宋体" w:hint="eastAsia"/>
                      <w:sz w:val="20"/>
                      <w:szCs w:val="20"/>
                    </w:rPr>
                    <w:t>年及以后，且我们已针对该“恶性肿瘤——重度”给付了重大疾病保险金，小王</w:t>
                  </w:r>
                  <w:r>
                    <w:rPr>
                      <w:rFonts w:ascii="宋体" w:eastAsia="仿宋_GB2312" w:hAnsi="宋体"/>
                      <w:sz w:val="20"/>
                      <w:szCs w:val="20"/>
                    </w:rPr>
                    <w:t>第二次</w:t>
                  </w:r>
                  <w:r>
                    <w:rPr>
                      <w:rFonts w:ascii="宋体" w:eastAsia="仿宋_GB2312" w:hAnsi="宋体" w:hint="eastAsia"/>
                      <w:sz w:val="20"/>
                      <w:szCs w:val="20"/>
                    </w:rPr>
                    <w:t>确诊发生本主险合同中的“恶性肿瘤——重度”</w:t>
                  </w:r>
                </w:p>
              </w:tc>
            </w:tr>
            <w:tr w:rsidR="008F265F" w14:paraId="226EF79C" w14:textId="77777777">
              <w:trPr>
                <w:cantSplit/>
                <w:trHeight w:val="571"/>
                <w:jc w:val="center"/>
              </w:trPr>
              <w:tc>
                <w:tcPr>
                  <w:tcW w:w="1814" w:type="dxa"/>
                  <w:vAlign w:val="center"/>
                </w:tcPr>
                <w:p w14:paraId="7F950D04" w14:textId="77777777" w:rsidR="008F265F" w:rsidRDefault="00A542E4">
                  <w:pPr>
                    <w:adjustRightInd w:val="0"/>
                    <w:snapToGrid w:val="0"/>
                    <w:rPr>
                      <w:rFonts w:ascii="宋体" w:eastAsia="仿宋_GB2312" w:hAnsi="宋体"/>
                      <w:szCs w:val="21"/>
                    </w:rPr>
                  </w:pPr>
                  <w:r>
                    <w:rPr>
                      <w:rFonts w:ascii="宋体" w:eastAsia="仿宋_GB2312" w:hAnsi="宋体" w:hint="eastAsia"/>
                      <w:szCs w:val="21"/>
                    </w:rPr>
                    <w:t>重症监护病房补贴保险金</w:t>
                  </w:r>
                </w:p>
              </w:tc>
              <w:tc>
                <w:tcPr>
                  <w:tcW w:w="960" w:type="dxa"/>
                  <w:vAlign w:val="center"/>
                </w:tcPr>
                <w:p w14:paraId="14214073"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小王</w:t>
                  </w:r>
                </w:p>
              </w:tc>
              <w:tc>
                <w:tcPr>
                  <w:tcW w:w="2329" w:type="dxa"/>
                  <w:vAlign w:val="center"/>
                </w:tcPr>
                <w:p w14:paraId="5AB24821" w14:textId="77777777" w:rsidR="008F265F" w:rsidRDefault="00A542E4">
                  <w:pPr>
                    <w:adjustRightInd w:val="0"/>
                    <w:snapToGrid w:val="0"/>
                    <w:rPr>
                      <w:rFonts w:ascii="宋体" w:eastAsia="仿宋_GB2312" w:hAnsi="宋体"/>
                      <w:sz w:val="20"/>
                      <w:szCs w:val="20"/>
                    </w:rPr>
                  </w:pPr>
                  <w:r>
                    <w:rPr>
                      <w:rFonts w:ascii="宋体" w:eastAsia="仿宋_GB2312" w:hAnsi="宋体" w:hint="eastAsia"/>
                      <w:sz w:val="20"/>
                      <w:szCs w:val="20"/>
                    </w:rPr>
                    <w:t>3</w:t>
                  </w:r>
                  <w:r>
                    <w:rPr>
                      <w:rFonts w:ascii="宋体" w:eastAsia="仿宋_GB2312" w:hAnsi="宋体"/>
                      <w:sz w:val="20"/>
                      <w:szCs w:val="20"/>
                    </w:rPr>
                    <w:t>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hint="eastAsia"/>
                      <w:sz w:val="20"/>
                      <w:szCs w:val="20"/>
                    </w:rPr>
                    <w:t>0</w:t>
                  </w:r>
                  <w:r>
                    <w:rPr>
                      <w:rFonts w:ascii="宋体" w:eastAsia="仿宋_GB2312" w:hAnsi="宋体"/>
                      <w:sz w:val="20"/>
                      <w:szCs w:val="20"/>
                    </w:rPr>
                    <w:t>.1</w:t>
                  </w:r>
                  <w:r>
                    <w:rPr>
                      <w:rFonts w:ascii="宋体" w:eastAsia="仿宋_GB2312" w:hAnsi="宋体" w:hint="eastAsia"/>
                      <w:sz w:val="20"/>
                      <w:szCs w:val="20"/>
                    </w:rPr>
                    <w:t>%</w:t>
                  </w:r>
                  <w:r>
                    <w:rPr>
                      <w:rFonts w:ascii="宋体" w:eastAsia="仿宋_GB2312" w:hAnsi="宋体" w:hint="eastAsia"/>
                      <w:sz w:val="20"/>
                      <w:szCs w:val="20"/>
                    </w:rPr>
                    <w:t>×（</w:t>
                  </w:r>
                  <w:r>
                    <w:rPr>
                      <w:rFonts w:ascii="宋体" w:eastAsia="仿宋_GB2312" w:hAnsi="宋体"/>
                      <w:sz w:val="20"/>
                      <w:szCs w:val="20"/>
                    </w:rPr>
                    <w:t>53</w:t>
                  </w:r>
                  <w:r>
                    <w:rPr>
                      <w:rFonts w:ascii="宋体" w:eastAsia="仿宋_GB2312" w:hAnsi="宋体" w:hint="eastAsia"/>
                      <w:sz w:val="20"/>
                      <w:szCs w:val="20"/>
                    </w:rPr>
                    <w:t>-</w:t>
                  </w:r>
                  <w:r>
                    <w:rPr>
                      <w:rFonts w:ascii="宋体" w:eastAsia="仿宋_GB2312" w:hAnsi="宋体"/>
                      <w:sz w:val="20"/>
                      <w:szCs w:val="20"/>
                    </w:rPr>
                    <w:t>3</w:t>
                  </w:r>
                  <w:r>
                    <w:rPr>
                      <w:rFonts w:ascii="宋体" w:eastAsia="仿宋_GB2312" w:hAnsi="宋体" w:hint="eastAsia"/>
                      <w:sz w:val="20"/>
                      <w:szCs w:val="20"/>
                    </w:rPr>
                    <w:t>）</w:t>
                  </w:r>
                  <w:r>
                    <w:rPr>
                      <w:rFonts w:ascii="宋体" w:eastAsia="仿宋_GB2312" w:hAnsi="宋体" w:hint="eastAsia"/>
                      <w:sz w:val="20"/>
                      <w:szCs w:val="20"/>
                    </w:rPr>
                    <w:t>=</w:t>
                  </w:r>
                  <w:r>
                    <w:rPr>
                      <w:rFonts w:ascii="宋体" w:eastAsia="仿宋_GB2312" w:hAnsi="宋体"/>
                      <w:sz w:val="20"/>
                      <w:szCs w:val="20"/>
                    </w:rPr>
                    <w:t>1.5</w:t>
                  </w:r>
                  <w:r>
                    <w:rPr>
                      <w:rFonts w:ascii="宋体" w:eastAsia="仿宋_GB2312" w:hAnsi="宋体" w:hint="eastAsia"/>
                      <w:sz w:val="20"/>
                      <w:szCs w:val="20"/>
                    </w:rPr>
                    <w:t>万元</w:t>
                  </w:r>
                </w:p>
              </w:tc>
              <w:tc>
                <w:tcPr>
                  <w:tcW w:w="3990" w:type="dxa"/>
                  <w:vAlign w:val="center"/>
                </w:tcPr>
                <w:p w14:paraId="0485F75A" w14:textId="77777777" w:rsidR="008F265F" w:rsidRDefault="00A542E4">
                  <w:pPr>
                    <w:adjustRightInd w:val="0"/>
                    <w:snapToGrid w:val="0"/>
                    <w:jc w:val="left"/>
                    <w:rPr>
                      <w:rFonts w:ascii="宋体" w:eastAsia="仿宋_GB2312" w:hAnsi="宋体"/>
                      <w:sz w:val="20"/>
                      <w:szCs w:val="20"/>
                    </w:rPr>
                  </w:pPr>
                  <w:r>
                    <w:rPr>
                      <w:rFonts w:ascii="宋体" w:eastAsia="仿宋_GB2312" w:hAnsi="宋体"/>
                      <w:sz w:val="20"/>
                      <w:szCs w:val="20"/>
                    </w:rPr>
                    <w:t>小王接受治疗并入住重症监护病房</w:t>
                  </w:r>
                  <w:r>
                    <w:rPr>
                      <w:rFonts w:ascii="宋体" w:eastAsia="仿宋_GB2312" w:hAnsi="宋体" w:hint="eastAsia"/>
                      <w:sz w:val="20"/>
                      <w:szCs w:val="20"/>
                    </w:rPr>
                    <w:t>，</w:t>
                  </w:r>
                  <w:r>
                    <w:rPr>
                      <w:rFonts w:ascii="宋体" w:eastAsia="仿宋_GB2312" w:hAnsi="宋体"/>
                      <w:sz w:val="20"/>
                      <w:szCs w:val="20"/>
                    </w:rPr>
                    <w:t>保单年度内累计入住重症监护病房天数</w:t>
                  </w:r>
                  <w:r>
                    <w:rPr>
                      <w:rFonts w:ascii="宋体" w:eastAsia="仿宋_GB2312" w:hAnsi="宋体" w:hint="eastAsia"/>
                      <w:sz w:val="20"/>
                      <w:szCs w:val="20"/>
                    </w:rPr>
                    <w:t>5</w:t>
                  </w:r>
                  <w:r>
                    <w:rPr>
                      <w:rFonts w:ascii="宋体" w:eastAsia="仿宋_GB2312" w:hAnsi="宋体"/>
                      <w:sz w:val="20"/>
                      <w:szCs w:val="20"/>
                    </w:rPr>
                    <w:t>3</w:t>
                  </w:r>
                  <w:r>
                    <w:rPr>
                      <w:rFonts w:ascii="宋体" w:eastAsia="仿宋_GB2312" w:hAnsi="宋体"/>
                      <w:sz w:val="20"/>
                      <w:szCs w:val="20"/>
                    </w:rPr>
                    <w:t>天</w:t>
                  </w:r>
                </w:p>
              </w:tc>
            </w:tr>
            <w:tr w:rsidR="008F265F" w14:paraId="32D2351F" w14:textId="77777777">
              <w:trPr>
                <w:cantSplit/>
                <w:trHeight w:val="1260"/>
                <w:jc w:val="center"/>
              </w:trPr>
              <w:tc>
                <w:tcPr>
                  <w:tcW w:w="9093" w:type="dxa"/>
                  <w:gridSpan w:val="4"/>
                  <w:vAlign w:val="center"/>
                </w:tcPr>
                <w:p w14:paraId="161DF331" w14:textId="240CFB7B" w:rsidR="008F265F" w:rsidRDefault="00A542E4">
                  <w:pPr>
                    <w:adjustRightInd w:val="0"/>
                    <w:snapToGrid w:val="0"/>
                    <w:rPr>
                      <w:rFonts w:ascii="宋体" w:eastAsia="仿宋_GB2312" w:hAnsi="宋体"/>
                      <w:sz w:val="20"/>
                      <w:szCs w:val="20"/>
                    </w:rPr>
                  </w:pPr>
                  <w:r>
                    <w:rPr>
                      <w:rFonts w:ascii="宋体" w:eastAsia="仿宋_GB2312" w:hAnsi="宋体"/>
                      <w:sz w:val="20"/>
                      <w:szCs w:val="20"/>
                    </w:rPr>
                    <w:t>我们给付重大疾病保险金后，本主险合同现金价值降</w:t>
                  </w:r>
                  <w:r w:rsidR="00CD25BD">
                    <w:rPr>
                      <w:rFonts w:ascii="宋体" w:eastAsia="仿宋_GB2312" w:hAnsi="宋体" w:hint="eastAsia"/>
                      <w:sz w:val="20"/>
                      <w:szCs w:val="20"/>
                    </w:rPr>
                    <w:t>至</w:t>
                  </w:r>
                  <w:r>
                    <w:rPr>
                      <w:rFonts w:ascii="宋体" w:eastAsia="仿宋_GB2312" w:hAnsi="宋体"/>
                      <w:sz w:val="20"/>
                      <w:szCs w:val="20"/>
                    </w:rPr>
                    <w:t>零，同时身故或全残保险金责任终止。</w:t>
                  </w:r>
                </w:p>
                <w:p w14:paraId="16075846" w14:textId="77777777" w:rsidR="008F265F" w:rsidRDefault="00A542E4">
                  <w:pPr>
                    <w:adjustRightInd w:val="0"/>
                    <w:snapToGrid w:val="0"/>
                    <w:rPr>
                      <w:rFonts w:ascii="宋体" w:eastAsia="仿宋_GB2312" w:hAnsi="宋体"/>
                      <w:sz w:val="20"/>
                      <w:szCs w:val="20"/>
                    </w:rPr>
                  </w:pPr>
                  <w:r>
                    <w:rPr>
                      <w:rFonts w:ascii="宋体" w:eastAsia="仿宋_GB2312" w:hAnsi="宋体"/>
                      <w:sz w:val="20"/>
                      <w:szCs w:val="20"/>
                    </w:rPr>
                    <w:t>轻症疾病保险金的给付累计以</w:t>
                  </w:r>
                  <w:r>
                    <w:rPr>
                      <w:rFonts w:ascii="宋体" w:eastAsia="仿宋_GB2312" w:hAnsi="宋体" w:hint="eastAsia"/>
                      <w:sz w:val="20"/>
                      <w:szCs w:val="20"/>
                    </w:rPr>
                    <w:t>五</w:t>
                  </w:r>
                  <w:r>
                    <w:rPr>
                      <w:rFonts w:ascii="宋体" w:eastAsia="仿宋_GB2312" w:hAnsi="宋体"/>
                      <w:sz w:val="20"/>
                      <w:szCs w:val="20"/>
                    </w:rPr>
                    <w:t>次为限，中症疾病保险金的给付累计以两次为限。</w:t>
                  </w:r>
                </w:p>
              </w:tc>
            </w:tr>
          </w:tbl>
          <w:p w14:paraId="454CA8DF" w14:textId="77777777" w:rsidR="008F265F" w:rsidRDefault="00A542E4">
            <w:pPr>
              <w:adjustRightInd w:val="0"/>
              <w:snapToGrid w:val="0"/>
              <w:spacing w:line="360" w:lineRule="exact"/>
              <w:ind w:leftChars="250" w:left="525" w:rightChars="250" w:right="525"/>
              <w:rPr>
                <w:rFonts w:ascii="宋体" w:eastAsia="仿宋_GB2312" w:hAnsi="宋体"/>
                <w:b/>
                <w:kern w:val="0"/>
                <w:sz w:val="24"/>
                <w:lang w:val="zh-CN"/>
              </w:rPr>
            </w:pPr>
            <w:r>
              <w:rPr>
                <w:rFonts w:ascii="宋体" w:eastAsia="仿宋_GB2312" w:hAnsi="宋体" w:hint="eastAsia"/>
                <w:b/>
                <w:kern w:val="0"/>
                <w:szCs w:val="21"/>
                <w:lang w:val="zh-CN"/>
              </w:rPr>
              <w:t>以上举例仅供您更好地理解产品之用，</w:t>
            </w:r>
            <w:r>
              <w:rPr>
                <w:rFonts w:ascii="宋体" w:eastAsia="仿宋_GB2312" w:hAnsi="宋体" w:hint="eastAsia"/>
                <w:b/>
                <w:szCs w:val="21"/>
              </w:rPr>
              <w:t>您所购买产品的具体保险利益以保险合同中载明的为准</w:t>
            </w:r>
            <w:r>
              <w:rPr>
                <w:rFonts w:ascii="宋体" w:eastAsia="仿宋_GB2312" w:hAnsi="宋体" w:hint="eastAsia"/>
                <w:b/>
                <w:kern w:val="0"/>
                <w:sz w:val="24"/>
                <w:lang w:val="zh-CN"/>
              </w:rPr>
              <w:t>。</w:t>
            </w:r>
          </w:p>
          <w:tbl>
            <w:tblPr>
              <w:tblStyle w:val="ae"/>
              <w:tblW w:w="974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2421"/>
              <w:gridCol w:w="6165"/>
            </w:tblGrid>
            <w:tr w:rsidR="008F265F" w14:paraId="0EC2CD8A" w14:textId="77777777">
              <w:trPr>
                <w:trHeight w:hRule="exact" w:val="465"/>
              </w:trPr>
              <w:tc>
                <w:tcPr>
                  <w:tcW w:w="1158" w:type="dxa"/>
                </w:tcPr>
                <w:p w14:paraId="28F75F36" w14:textId="77777777" w:rsidR="008F265F" w:rsidRDefault="008F265F">
                  <w:pPr>
                    <w:pStyle w:val="1"/>
                    <w:adjustRightInd w:val="0"/>
                    <w:snapToGrid w:val="0"/>
                    <w:spacing w:beforeLines="50" w:before="156" w:line="360" w:lineRule="exact"/>
                    <w:ind w:firstLineChars="0" w:firstLine="0"/>
                    <w:rPr>
                      <w:rFonts w:ascii="宋体" w:eastAsia="仿宋_GB2312" w:hAnsi="宋体"/>
                      <w:b/>
                      <w:bCs/>
                      <w:kern w:val="0"/>
                      <w:szCs w:val="18"/>
                    </w:rPr>
                  </w:pPr>
                </w:p>
              </w:tc>
              <w:tc>
                <w:tcPr>
                  <w:tcW w:w="2421" w:type="dxa"/>
                </w:tcPr>
                <w:p w14:paraId="350C592F" w14:textId="77777777" w:rsidR="008F265F" w:rsidRDefault="008F265F">
                  <w:pPr>
                    <w:pStyle w:val="1"/>
                    <w:snapToGrid w:val="0"/>
                    <w:spacing w:beforeLines="50" w:before="156" w:afterLines="50" w:after="156" w:line="340" w:lineRule="exact"/>
                    <w:ind w:firstLineChars="0" w:firstLine="0"/>
                    <w:rPr>
                      <w:rFonts w:ascii="宋体" w:eastAsia="仿宋_GB2312" w:hAnsi="宋体"/>
                      <w:b/>
                      <w:bCs/>
                      <w:kern w:val="0"/>
                      <w:szCs w:val="18"/>
                      <w:lang w:val="zh-CN"/>
                    </w:rPr>
                  </w:pPr>
                </w:p>
              </w:tc>
              <w:tc>
                <w:tcPr>
                  <w:tcW w:w="6165" w:type="dxa"/>
                </w:tcPr>
                <w:p w14:paraId="35C62D40" w14:textId="77777777" w:rsidR="008F265F" w:rsidRDefault="008F265F">
                  <w:pPr>
                    <w:adjustRightInd w:val="0"/>
                    <w:snapToGrid w:val="0"/>
                    <w:spacing w:line="360" w:lineRule="exact"/>
                    <w:rPr>
                      <w:rFonts w:ascii="宋体" w:eastAsia="仿宋_GB2312" w:hAnsi="宋体"/>
                      <w:szCs w:val="21"/>
                    </w:rPr>
                  </w:pPr>
                </w:p>
              </w:tc>
            </w:tr>
            <w:tr w:rsidR="008F265F" w14:paraId="33F13F73" w14:textId="77777777">
              <w:trPr>
                <w:trHeight w:hRule="exact" w:val="465"/>
              </w:trPr>
              <w:tc>
                <w:tcPr>
                  <w:tcW w:w="1158" w:type="dxa"/>
                </w:tcPr>
                <w:p w14:paraId="6253E014" w14:textId="77777777" w:rsidR="008F265F" w:rsidRDefault="008F265F">
                  <w:pPr>
                    <w:pStyle w:val="1"/>
                    <w:adjustRightInd w:val="0"/>
                    <w:snapToGrid w:val="0"/>
                    <w:spacing w:beforeLines="50" w:before="156" w:line="360" w:lineRule="exact"/>
                    <w:ind w:firstLineChars="0" w:firstLine="0"/>
                    <w:rPr>
                      <w:rFonts w:ascii="宋体" w:eastAsia="仿宋_GB2312" w:hAnsi="宋体"/>
                      <w:b/>
                      <w:bCs/>
                      <w:kern w:val="0"/>
                      <w:szCs w:val="18"/>
                    </w:rPr>
                  </w:pPr>
                </w:p>
              </w:tc>
              <w:tc>
                <w:tcPr>
                  <w:tcW w:w="2421" w:type="dxa"/>
                </w:tcPr>
                <w:p w14:paraId="46C83AE7" w14:textId="77777777" w:rsidR="008F265F" w:rsidRDefault="008F265F">
                  <w:pPr>
                    <w:pStyle w:val="1"/>
                    <w:snapToGrid w:val="0"/>
                    <w:spacing w:beforeLines="50" w:before="156" w:afterLines="50" w:after="156" w:line="340" w:lineRule="exact"/>
                    <w:ind w:firstLineChars="0" w:firstLine="0"/>
                    <w:rPr>
                      <w:rFonts w:ascii="宋体" w:eastAsia="仿宋_GB2312" w:hAnsi="宋体"/>
                      <w:b/>
                      <w:bCs/>
                      <w:kern w:val="0"/>
                      <w:szCs w:val="18"/>
                      <w:lang w:val="zh-CN"/>
                    </w:rPr>
                  </w:pPr>
                </w:p>
              </w:tc>
              <w:tc>
                <w:tcPr>
                  <w:tcW w:w="6165" w:type="dxa"/>
                </w:tcPr>
                <w:p w14:paraId="0A888F61" w14:textId="77777777" w:rsidR="008F265F" w:rsidRDefault="008F265F">
                  <w:pPr>
                    <w:adjustRightInd w:val="0"/>
                    <w:snapToGrid w:val="0"/>
                    <w:spacing w:line="360" w:lineRule="exact"/>
                    <w:rPr>
                      <w:rFonts w:ascii="宋体" w:eastAsia="仿宋_GB2312" w:hAnsi="宋体"/>
                      <w:szCs w:val="21"/>
                    </w:rPr>
                  </w:pPr>
                </w:p>
              </w:tc>
            </w:tr>
            <w:tr w:rsidR="008F265F" w14:paraId="7CBF8F96" w14:textId="77777777">
              <w:trPr>
                <w:trHeight w:hRule="exact" w:val="465"/>
              </w:trPr>
              <w:tc>
                <w:tcPr>
                  <w:tcW w:w="1158" w:type="dxa"/>
                </w:tcPr>
                <w:p w14:paraId="491BF5FE" w14:textId="77777777" w:rsidR="008F265F" w:rsidRDefault="00A542E4">
                  <w:pPr>
                    <w:pStyle w:val="1"/>
                    <w:adjustRightInd w:val="0"/>
                    <w:snapToGrid w:val="0"/>
                    <w:spacing w:beforeLines="50" w:before="156" w:line="360" w:lineRule="exact"/>
                    <w:ind w:firstLineChars="0" w:firstLine="0"/>
                    <w:rPr>
                      <w:rFonts w:ascii="宋体" w:eastAsia="仿宋_GB2312" w:hAnsi="宋体"/>
                      <w:b/>
                      <w:bCs/>
                      <w:szCs w:val="21"/>
                    </w:rPr>
                  </w:pPr>
                  <w:r>
                    <w:rPr>
                      <w:rFonts w:ascii="宋体" w:eastAsia="仿宋_GB2312" w:hAnsi="宋体"/>
                      <w:b/>
                      <w:bCs/>
                      <w:noProof/>
                      <w:kern w:val="0"/>
                      <w:szCs w:val="18"/>
                    </w:rPr>
                    <mc:AlternateContent>
                      <mc:Choice Requires="wpg">
                        <w:drawing>
                          <wp:anchor distT="0" distB="0" distL="114300" distR="114300" simplePos="0" relativeHeight="251672576" behindDoc="0" locked="0" layoutInCell="1" allowOverlap="1" wp14:anchorId="5CCEBB6E" wp14:editId="01F95583">
                            <wp:simplePos x="0" y="0"/>
                            <wp:positionH relativeFrom="column">
                              <wp:posOffset>238125</wp:posOffset>
                            </wp:positionH>
                            <wp:positionV relativeFrom="paragraph">
                              <wp:posOffset>-13970</wp:posOffset>
                            </wp:positionV>
                            <wp:extent cx="444500" cy="400050"/>
                            <wp:effectExtent l="0" t="0" r="0" b="0"/>
                            <wp:wrapNone/>
                            <wp:docPr id="228" name="组合 228"/>
                            <wp:cNvGraphicFramePr/>
                            <a:graphic xmlns:a="http://schemas.openxmlformats.org/drawingml/2006/main">
                              <a:graphicData uri="http://schemas.microsoft.com/office/word/2010/wordprocessingGroup">
                                <wpg:wgp>
                                  <wpg:cNvGrpSpPr/>
                                  <wpg:grpSpPr>
                                    <a:xfrm>
                                      <a:off x="0" y="0"/>
                                      <a:ext cx="444500" cy="400050"/>
                                      <a:chOff x="0" y="0"/>
                                      <a:chExt cx="546089" cy="547688"/>
                                    </a:xfrm>
                                  </wpg:grpSpPr>
                                  <wps:wsp>
                                    <wps:cNvPr id="229" name="Freeform 103"/>
                                    <wps:cNvSpPr/>
                                    <wps:spPr bwMode="auto">
                                      <a:xfrm>
                                        <a:off x="228600" y="488950"/>
                                        <a:ext cx="90476" cy="22225"/>
                                      </a:xfrm>
                                      <a:custGeom>
                                        <a:avLst/>
                                        <a:gdLst>
                                          <a:gd name="T0" fmla="*/ 28 w 32"/>
                                          <a:gd name="T1" fmla="*/ 0 h 8"/>
                                          <a:gd name="T2" fmla="*/ 4 w 32"/>
                                          <a:gd name="T3" fmla="*/ 0 h 8"/>
                                          <a:gd name="T4" fmla="*/ 0 w 32"/>
                                          <a:gd name="T5" fmla="*/ 4 h 8"/>
                                          <a:gd name="T6" fmla="*/ 4 w 32"/>
                                          <a:gd name="T7" fmla="*/ 8 h 8"/>
                                          <a:gd name="T8" fmla="*/ 28 w 32"/>
                                          <a:gd name="T9" fmla="*/ 8 h 8"/>
                                          <a:gd name="T10" fmla="*/ 32 w 32"/>
                                          <a:gd name="T11" fmla="*/ 4 h 8"/>
                                          <a:gd name="T12" fmla="*/ 28 w 32"/>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32" h="8">
                                            <a:moveTo>
                                              <a:pt x="28" y="0"/>
                                            </a:moveTo>
                                            <a:cubicBezTo>
                                              <a:pt x="4" y="0"/>
                                              <a:pt x="4" y="0"/>
                                              <a:pt x="4" y="0"/>
                                            </a:cubicBezTo>
                                            <a:cubicBezTo>
                                              <a:pt x="2" y="0"/>
                                              <a:pt x="0" y="2"/>
                                              <a:pt x="0" y="4"/>
                                            </a:cubicBezTo>
                                            <a:cubicBezTo>
                                              <a:pt x="0" y="6"/>
                                              <a:pt x="2" y="8"/>
                                              <a:pt x="4" y="8"/>
                                            </a:cubicBezTo>
                                            <a:cubicBezTo>
                                              <a:pt x="28" y="8"/>
                                              <a:pt x="28" y="8"/>
                                              <a:pt x="28" y="8"/>
                                            </a:cubicBezTo>
                                            <a:cubicBezTo>
                                              <a:pt x="30" y="8"/>
                                              <a:pt x="32" y="6"/>
                                              <a:pt x="32" y="4"/>
                                            </a:cubicBezTo>
                                            <a:cubicBezTo>
                                              <a:pt x="32" y="2"/>
                                              <a:pt x="30" y="0"/>
                                              <a:pt x="28" y="0"/>
                                            </a:cubicBezTo>
                                            <a:close/>
                                          </a:path>
                                        </a:pathLst>
                                      </a:custGeom>
                                      <a:solidFill>
                                        <a:schemeClr val="tx1"/>
                                      </a:solidFill>
                                      <a:ln>
                                        <a:noFill/>
                                      </a:ln>
                                    </wps:spPr>
                                    <wps:bodyPr vert="horz" wrap="square" lIns="91440" tIns="45720" rIns="91440" bIns="45720" numCol="1" anchor="t" anchorCtr="0" compatLnSpc="1"/>
                                  </wps:wsp>
                                  <wps:wsp>
                                    <wps:cNvPr id="230" name="Freeform 104"/>
                                    <wps:cNvSpPr/>
                                    <wps:spPr bwMode="auto">
                                      <a:xfrm>
                                        <a:off x="228600" y="527050"/>
                                        <a:ext cx="90476" cy="20638"/>
                                      </a:xfrm>
                                      <a:custGeom>
                                        <a:avLst/>
                                        <a:gdLst>
                                          <a:gd name="T0" fmla="*/ 28 w 32"/>
                                          <a:gd name="T1" fmla="*/ 0 h 7"/>
                                          <a:gd name="T2" fmla="*/ 4 w 32"/>
                                          <a:gd name="T3" fmla="*/ 0 h 7"/>
                                          <a:gd name="T4" fmla="*/ 0 w 32"/>
                                          <a:gd name="T5" fmla="*/ 4 h 7"/>
                                          <a:gd name="T6" fmla="*/ 4 w 32"/>
                                          <a:gd name="T7" fmla="*/ 7 h 7"/>
                                          <a:gd name="T8" fmla="*/ 28 w 32"/>
                                          <a:gd name="T9" fmla="*/ 7 h 7"/>
                                          <a:gd name="T10" fmla="*/ 32 w 32"/>
                                          <a:gd name="T11" fmla="*/ 4 h 7"/>
                                          <a:gd name="T12" fmla="*/ 28 w 32"/>
                                          <a:gd name="T13" fmla="*/ 0 h 7"/>
                                        </a:gdLst>
                                        <a:ahLst/>
                                        <a:cxnLst>
                                          <a:cxn ang="0">
                                            <a:pos x="T0" y="T1"/>
                                          </a:cxn>
                                          <a:cxn ang="0">
                                            <a:pos x="T2" y="T3"/>
                                          </a:cxn>
                                          <a:cxn ang="0">
                                            <a:pos x="T4" y="T5"/>
                                          </a:cxn>
                                          <a:cxn ang="0">
                                            <a:pos x="T6" y="T7"/>
                                          </a:cxn>
                                          <a:cxn ang="0">
                                            <a:pos x="T8" y="T9"/>
                                          </a:cxn>
                                          <a:cxn ang="0">
                                            <a:pos x="T10" y="T11"/>
                                          </a:cxn>
                                          <a:cxn ang="0">
                                            <a:pos x="T12" y="T13"/>
                                          </a:cxn>
                                        </a:cxnLst>
                                        <a:rect l="0" t="0" r="r" b="b"/>
                                        <a:pathLst>
                                          <a:path w="32" h="7">
                                            <a:moveTo>
                                              <a:pt x="28" y="0"/>
                                            </a:moveTo>
                                            <a:cubicBezTo>
                                              <a:pt x="4" y="0"/>
                                              <a:pt x="4" y="0"/>
                                              <a:pt x="4" y="0"/>
                                            </a:cubicBezTo>
                                            <a:cubicBezTo>
                                              <a:pt x="2" y="0"/>
                                              <a:pt x="0" y="1"/>
                                              <a:pt x="0" y="4"/>
                                            </a:cubicBezTo>
                                            <a:cubicBezTo>
                                              <a:pt x="0" y="6"/>
                                              <a:pt x="2" y="7"/>
                                              <a:pt x="4" y="7"/>
                                            </a:cubicBezTo>
                                            <a:cubicBezTo>
                                              <a:pt x="28" y="7"/>
                                              <a:pt x="28" y="7"/>
                                              <a:pt x="28" y="7"/>
                                            </a:cubicBezTo>
                                            <a:cubicBezTo>
                                              <a:pt x="30" y="7"/>
                                              <a:pt x="32" y="6"/>
                                              <a:pt x="32" y="4"/>
                                            </a:cubicBezTo>
                                            <a:cubicBezTo>
                                              <a:pt x="32" y="1"/>
                                              <a:pt x="30" y="0"/>
                                              <a:pt x="28" y="0"/>
                                            </a:cubicBezTo>
                                            <a:close/>
                                          </a:path>
                                        </a:pathLst>
                                      </a:custGeom>
                                      <a:solidFill>
                                        <a:schemeClr val="tx1"/>
                                      </a:solidFill>
                                      <a:ln>
                                        <a:noFill/>
                                      </a:ln>
                                    </wps:spPr>
                                    <wps:bodyPr vert="horz" wrap="square" lIns="91440" tIns="45720" rIns="91440" bIns="45720" numCol="1" anchor="t" anchorCtr="0" compatLnSpc="1"/>
                                  </wps:wsp>
                                  <wps:wsp>
                                    <wps:cNvPr id="231" name="Freeform 105"/>
                                    <wps:cNvSpPr/>
                                    <wps:spPr bwMode="auto">
                                      <a:xfrm>
                                        <a:off x="260350" y="0"/>
                                        <a:ext cx="20635" cy="79375"/>
                                      </a:xfrm>
                                      <a:custGeom>
                                        <a:avLst/>
                                        <a:gdLst>
                                          <a:gd name="T0" fmla="*/ 4 w 7"/>
                                          <a:gd name="T1" fmla="*/ 28 h 28"/>
                                          <a:gd name="T2" fmla="*/ 7 w 7"/>
                                          <a:gd name="T3" fmla="*/ 24 h 28"/>
                                          <a:gd name="T4" fmla="*/ 7 w 7"/>
                                          <a:gd name="T5" fmla="*/ 4 h 28"/>
                                          <a:gd name="T6" fmla="*/ 4 w 7"/>
                                          <a:gd name="T7" fmla="*/ 0 h 28"/>
                                          <a:gd name="T8" fmla="*/ 0 w 7"/>
                                          <a:gd name="T9" fmla="*/ 4 h 28"/>
                                          <a:gd name="T10" fmla="*/ 0 w 7"/>
                                          <a:gd name="T11" fmla="*/ 24 h 28"/>
                                          <a:gd name="T12" fmla="*/ 4 w 7"/>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7" h="28">
                                            <a:moveTo>
                                              <a:pt x="4" y="28"/>
                                            </a:moveTo>
                                            <a:cubicBezTo>
                                              <a:pt x="6" y="28"/>
                                              <a:pt x="7" y="26"/>
                                              <a:pt x="7" y="24"/>
                                            </a:cubicBezTo>
                                            <a:cubicBezTo>
                                              <a:pt x="7" y="4"/>
                                              <a:pt x="7" y="4"/>
                                              <a:pt x="7" y="4"/>
                                            </a:cubicBezTo>
                                            <a:cubicBezTo>
                                              <a:pt x="7" y="2"/>
                                              <a:pt x="6" y="0"/>
                                              <a:pt x="4" y="0"/>
                                            </a:cubicBezTo>
                                            <a:cubicBezTo>
                                              <a:pt x="1" y="0"/>
                                              <a:pt x="0" y="2"/>
                                              <a:pt x="0" y="4"/>
                                            </a:cubicBezTo>
                                            <a:cubicBezTo>
                                              <a:pt x="0" y="24"/>
                                              <a:pt x="0" y="24"/>
                                              <a:pt x="0" y="24"/>
                                            </a:cubicBezTo>
                                            <a:cubicBezTo>
                                              <a:pt x="0" y="26"/>
                                              <a:pt x="1" y="28"/>
                                              <a:pt x="4" y="28"/>
                                            </a:cubicBezTo>
                                            <a:close/>
                                          </a:path>
                                        </a:pathLst>
                                      </a:custGeom>
                                      <a:solidFill>
                                        <a:schemeClr val="tx1"/>
                                      </a:solidFill>
                                      <a:ln>
                                        <a:noFill/>
                                      </a:ln>
                                    </wps:spPr>
                                    <wps:bodyPr vert="horz" wrap="square" lIns="91440" tIns="45720" rIns="91440" bIns="45720" numCol="1" anchor="t" anchorCtr="0" compatLnSpc="1"/>
                                  </wps:wsp>
                                  <wps:wsp>
                                    <wps:cNvPr id="232" name="Freeform 106"/>
                                    <wps:cNvSpPr/>
                                    <wps:spPr bwMode="auto">
                                      <a:xfrm>
                                        <a:off x="82550" y="69850"/>
                                        <a:ext cx="65079" cy="65088"/>
                                      </a:xfrm>
                                      <a:custGeom>
                                        <a:avLst/>
                                        <a:gdLst>
                                          <a:gd name="T0" fmla="*/ 19 w 23"/>
                                          <a:gd name="T1" fmla="*/ 23 h 23"/>
                                          <a:gd name="T2" fmla="*/ 21 w 23"/>
                                          <a:gd name="T3" fmla="*/ 22 h 23"/>
                                          <a:gd name="T4" fmla="*/ 21 w 23"/>
                                          <a:gd name="T5" fmla="*/ 17 h 23"/>
                                          <a:gd name="T6" fmla="*/ 8 w 23"/>
                                          <a:gd name="T7" fmla="*/ 2 h 23"/>
                                          <a:gd name="T8" fmla="*/ 2 w 23"/>
                                          <a:gd name="T9" fmla="*/ 2 h 23"/>
                                          <a:gd name="T10" fmla="*/ 2 w 23"/>
                                          <a:gd name="T11" fmla="*/ 7 h 23"/>
                                          <a:gd name="T12" fmla="*/ 16 w 23"/>
                                          <a:gd name="T13" fmla="*/ 22 h 23"/>
                                          <a:gd name="T14" fmla="*/ 19 w 23"/>
                                          <a:gd name="T15" fmla="*/ 23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3">
                                            <a:moveTo>
                                              <a:pt x="19" y="23"/>
                                            </a:moveTo>
                                            <a:cubicBezTo>
                                              <a:pt x="20" y="23"/>
                                              <a:pt x="20" y="23"/>
                                              <a:pt x="21" y="22"/>
                                            </a:cubicBezTo>
                                            <a:cubicBezTo>
                                              <a:pt x="23" y="21"/>
                                              <a:pt x="23" y="18"/>
                                              <a:pt x="21" y="17"/>
                                            </a:cubicBezTo>
                                            <a:cubicBezTo>
                                              <a:pt x="8" y="2"/>
                                              <a:pt x="8" y="2"/>
                                              <a:pt x="8" y="2"/>
                                            </a:cubicBezTo>
                                            <a:cubicBezTo>
                                              <a:pt x="6" y="0"/>
                                              <a:pt x="4" y="0"/>
                                              <a:pt x="2" y="2"/>
                                            </a:cubicBezTo>
                                            <a:cubicBezTo>
                                              <a:pt x="1" y="3"/>
                                              <a:pt x="0" y="5"/>
                                              <a:pt x="2" y="7"/>
                                            </a:cubicBezTo>
                                            <a:cubicBezTo>
                                              <a:pt x="16" y="22"/>
                                              <a:pt x="16" y="22"/>
                                              <a:pt x="16" y="22"/>
                                            </a:cubicBezTo>
                                            <a:cubicBezTo>
                                              <a:pt x="16" y="23"/>
                                              <a:pt x="17" y="23"/>
                                              <a:pt x="19" y="23"/>
                                            </a:cubicBezTo>
                                            <a:close/>
                                          </a:path>
                                        </a:pathLst>
                                      </a:custGeom>
                                      <a:solidFill>
                                        <a:schemeClr val="tx1"/>
                                      </a:solidFill>
                                      <a:ln>
                                        <a:noFill/>
                                      </a:ln>
                                    </wps:spPr>
                                    <wps:bodyPr vert="horz" wrap="square" lIns="91440" tIns="45720" rIns="91440" bIns="45720" numCol="1" anchor="t" anchorCtr="0" compatLnSpc="1"/>
                                  </wps:wsp>
                                  <wps:wsp>
                                    <wps:cNvPr id="233" name="Freeform 107"/>
                                    <wps:cNvSpPr/>
                                    <wps:spPr bwMode="auto">
                                      <a:xfrm>
                                        <a:off x="400050" y="69850"/>
                                        <a:ext cx="65079" cy="65088"/>
                                      </a:xfrm>
                                      <a:custGeom>
                                        <a:avLst/>
                                        <a:gdLst>
                                          <a:gd name="T0" fmla="*/ 15 w 23"/>
                                          <a:gd name="T1" fmla="*/ 2 h 23"/>
                                          <a:gd name="T2" fmla="*/ 2 w 23"/>
                                          <a:gd name="T3" fmla="*/ 17 h 23"/>
                                          <a:gd name="T4" fmla="*/ 2 w 23"/>
                                          <a:gd name="T5" fmla="*/ 22 h 23"/>
                                          <a:gd name="T6" fmla="*/ 5 w 23"/>
                                          <a:gd name="T7" fmla="*/ 23 h 23"/>
                                          <a:gd name="T8" fmla="*/ 7 w 23"/>
                                          <a:gd name="T9" fmla="*/ 22 h 23"/>
                                          <a:gd name="T10" fmla="*/ 21 w 23"/>
                                          <a:gd name="T11" fmla="*/ 7 h 23"/>
                                          <a:gd name="T12" fmla="*/ 21 w 23"/>
                                          <a:gd name="T13" fmla="*/ 2 h 23"/>
                                          <a:gd name="T14" fmla="*/ 15 w 23"/>
                                          <a:gd name="T15" fmla="*/ 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3">
                                            <a:moveTo>
                                              <a:pt x="15" y="2"/>
                                            </a:moveTo>
                                            <a:cubicBezTo>
                                              <a:pt x="2" y="17"/>
                                              <a:pt x="2" y="17"/>
                                              <a:pt x="2" y="17"/>
                                            </a:cubicBezTo>
                                            <a:cubicBezTo>
                                              <a:pt x="0" y="18"/>
                                              <a:pt x="0" y="21"/>
                                              <a:pt x="2" y="22"/>
                                            </a:cubicBezTo>
                                            <a:cubicBezTo>
                                              <a:pt x="3" y="23"/>
                                              <a:pt x="4" y="23"/>
                                              <a:pt x="5" y="23"/>
                                            </a:cubicBezTo>
                                            <a:cubicBezTo>
                                              <a:pt x="6" y="23"/>
                                              <a:pt x="7" y="23"/>
                                              <a:pt x="7" y="22"/>
                                            </a:cubicBezTo>
                                            <a:cubicBezTo>
                                              <a:pt x="21" y="7"/>
                                              <a:pt x="21" y="7"/>
                                              <a:pt x="21" y="7"/>
                                            </a:cubicBezTo>
                                            <a:cubicBezTo>
                                              <a:pt x="23" y="5"/>
                                              <a:pt x="23" y="3"/>
                                              <a:pt x="21" y="2"/>
                                            </a:cubicBezTo>
                                            <a:cubicBezTo>
                                              <a:pt x="19" y="0"/>
                                              <a:pt x="17" y="0"/>
                                              <a:pt x="15" y="2"/>
                                            </a:cubicBezTo>
                                            <a:close/>
                                          </a:path>
                                        </a:pathLst>
                                      </a:custGeom>
                                      <a:solidFill>
                                        <a:schemeClr val="tx1"/>
                                      </a:solidFill>
                                      <a:ln>
                                        <a:noFill/>
                                      </a:ln>
                                    </wps:spPr>
                                    <wps:bodyPr vert="horz" wrap="square" lIns="91440" tIns="45720" rIns="91440" bIns="45720" numCol="1" anchor="t" anchorCtr="0" compatLnSpc="1"/>
                                  </wps:wsp>
                                  <wps:wsp>
                                    <wps:cNvPr id="234" name="Freeform 108"/>
                                    <wps:cNvSpPr/>
                                    <wps:spPr bwMode="auto">
                                      <a:xfrm>
                                        <a:off x="0" y="234950"/>
                                        <a:ext cx="79365" cy="22225"/>
                                      </a:xfrm>
                                      <a:custGeom>
                                        <a:avLst/>
                                        <a:gdLst>
                                          <a:gd name="T0" fmla="*/ 24 w 28"/>
                                          <a:gd name="T1" fmla="*/ 0 h 8"/>
                                          <a:gd name="T2" fmla="*/ 3 w 28"/>
                                          <a:gd name="T3" fmla="*/ 0 h 8"/>
                                          <a:gd name="T4" fmla="*/ 0 w 28"/>
                                          <a:gd name="T5" fmla="*/ 4 h 8"/>
                                          <a:gd name="T6" fmla="*/ 3 w 28"/>
                                          <a:gd name="T7" fmla="*/ 8 h 8"/>
                                          <a:gd name="T8" fmla="*/ 24 w 28"/>
                                          <a:gd name="T9" fmla="*/ 8 h 8"/>
                                          <a:gd name="T10" fmla="*/ 28 w 28"/>
                                          <a:gd name="T11" fmla="*/ 4 h 8"/>
                                          <a:gd name="T12" fmla="*/ 24 w 28"/>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28" h="8">
                                            <a:moveTo>
                                              <a:pt x="24" y="0"/>
                                            </a:moveTo>
                                            <a:cubicBezTo>
                                              <a:pt x="3" y="0"/>
                                              <a:pt x="3" y="0"/>
                                              <a:pt x="3" y="0"/>
                                            </a:cubicBezTo>
                                            <a:cubicBezTo>
                                              <a:pt x="1" y="0"/>
                                              <a:pt x="0" y="2"/>
                                              <a:pt x="0" y="4"/>
                                            </a:cubicBezTo>
                                            <a:cubicBezTo>
                                              <a:pt x="0" y="6"/>
                                              <a:pt x="1" y="8"/>
                                              <a:pt x="3" y="8"/>
                                            </a:cubicBezTo>
                                            <a:cubicBezTo>
                                              <a:pt x="24" y="8"/>
                                              <a:pt x="24" y="8"/>
                                              <a:pt x="24" y="8"/>
                                            </a:cubicBezTo>
                                            <a:cubicBezTo>
                                              <a:pt x="26" y="8"/>
                                              <a:pt x="28" y="6"/>
                                              <a:pt x="28" y="4"/>
                                            </a:cubicBezTo>
                                            <a:cubicBezTo>
                                              <a:pt x="28" y="2"/>
                                              <a:pt x="26" y="0"/>
                                              <a:pt x="24" y="0"/>
                                            </a:cubicBezTo>
                                            <a:close/>
                                          </a:path>
                                        </a:pathLst>
                                      </a:custGeom>
                                      <a:solidFill>
                                        <a:schemeClr val="tx1"/>
                                      </a:solidFill>
                                      <a:ln>
                                        <a:noFill/>
                                      </a:ln>
                                    </wps:spPr>
                                    <wps:bodyPr vert="horz" wrap="square" lIns="91440" tIns="45720" rIns="91440" bIns="45720" numCol="1" anchor="t" anchorCtr="0" compatLnSpc="1"/>
                                  </wps:wsp>
                                  <wps:wsp>
                                    <wps:cNvPr id="235" name="Freeform 109"/>
                                    <wps:cNvSpPr/>
                                    <wps:spPr bwMode="auto">
                                      <a:xfrm>
                                        <a:off x="463550" y="234950"/>
                                        <a:ext cx="82539" cy="22225"/>
                                      </a:xfrm>
                                      <a:custGeom>
                                        <a:avLst/>
                                        <a:gdLst>
                                          <a:gd name="T0" fmla="*/ 25 w 29"/>
                                          <a:gd name="T1" fmla="*/ 0 h 8"/>
                                          <a:gd name="T2" fmla="*/ 4 w 29"/>
                                          <a:gd name="T3" fmla="*/ 0 h 8"/>
                                          <a:gd name="T4" fmla="*/ 0 w 29"/>
                                          <a:gd name="T5" fmla="*/ 4 h 8"/>
                                          <a:gd name="T6" fmla="*/ 4 w 29"/>
                                          <a:gd name="T7" fmla="*/ 8 h 8"/>
                                          <a:gd name="T8" fmla="*/ 25 w 29"/>
                                          <a:gd name="T9" fmla="*/ 8 h 8"/>
                                          <a:gd name="T10" fmla="*/ 29 w 29"/>
                                          <a:gd name="T11" fmla="*/ 4 h 8"/>
                                          <a:gd name="T12" fmla="*/ 25 w 29"/>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29" h="8">
                                            <a:moveTo>
                                              <a:pt x="25" y="0"/>
                                            </a:moveTo>
                                            <a:cubicBezTo>
                                              <a:pt x="4" y="0"/>
                                              <a:pt x="4" y="0"/>
                                              <a:pt x="4" y="0"/>
                                            </a:cubicBezTo>
                                            <a:cubicBezTo>
                                              <a:pt x="2" y="0"/>
                                              <a:pt x="0" y="2"/>
                                              <a:pt x="0" y="4"/>
                                            </a:cubicBezTo>
                                            <a:cubicBezTo>
                                              <a:pt x="0" y="6"/>
                                              <a:pt x="2" y="8"/>
                                              <a:pt x="4" y="8"/>
                                            </a:cubicBezTo>
                                            <a:cubicBezTo>
                                              <a:pt x="25" y="8"/>
                                              <a:pt x="25" y="8"/>
                                              <a:pt x="25" y="8"/>
                                            </a:cubicBezTo>
                                            <a:cubicBezTo>
                                              <a:pt x="27" y="8"/>
                                              <a:pt x="29" y="6"/>
                                              <a:pt x="29" y="4"/>
                                            </a:cubicBezTo>
                                            <a:cubicBezTo>
                                              <a:pt x="29" y="2"/>
                                              <a:pt x="27" y="0"/>
                                              <a:pt x="25" y="0"/>
                                            </a:cubicBezTo>
                                            <a:close/>
                                          </a:path>
                                        </a:pathLst>
                                      </a:custGeom>
                                      <a:solidFill>
                                        <a:schemeClr val="tx1"/>
                                      </a:solidFill>
                                      <a:ln>
                                        <a:noFill/>
                                      </a:ln>
                                    </wps:spPr>
                                    <wps:bodyPr vert="horz" wrap="square" lIns="91440" tIns="45720" rIns="91440" bIns="45720" numCol="1" anchor="t" anchorCtr="0" compatLnSpc="1"/>
                                  </wps:wsp>
                                  <wps:wsp>
                                    <wps:cNvPr id="236" name="Freeform 110"/>
                                    <wps:cNvSpPr>
                                      <a:spLocks noEditPoints="1"/>
                                    </wps:cNvSpPr>
                                    <wps:spPr bwMode="auto">
                                      <a:xfrm>
                                        <a:off x="120649" y="101600"/>
                                        <a:ext cx="304759" cy="363539"/>
                                      </a:xfrm>
                                      <a:custGeom>
                                        <a:avLst/>
                                        <a:gdLst>
                                          <a:gd name="T0" fmla="*/ 54 w 107"/>
                                          <a:gd name="T1" fmla="*/ 0 h 128"/>
                                          <a:gd name="T2" fmla="*/ 0 w 107"/>
                                          <a:gd name="T3" fmla="*/ 52 h 128"/>
                                          <a:gd name="T4" fmla="*/ 28 w 107"/>
                                          <a:gd name="T5" fmla="*/ 98 h 128"/>
                                          <a:gd name="T6" fmla="*/ 39 w 107"/>
                                          <a:gd name="T7" fmla="*/ 128 h 128"/>
                                          <a:gd name="T8" fmla="*/ 40 w 107"/>
                                          <a:gd name="T9" fmla="*/ 128 h 128"/>
                                          <a:gd name="T10" fmla="*/ 67 w 107"/>
                                          <a:gd name="T11" fmla="*/ 128 h 128"/>
                                          <a:gd name="T12" fmla="*/ 68 w 107"/>
                                          <a:gd name="T13" fmla="*/ 128 h 128"/>
                                          <a:gd name="T14" fmla="*/ 79 w 107"/>
                                          <a:gd name="T15" fmla="*/ 98 h 128"/>
                                          <a:gd name="T16" fmla="*/ 107 w 107"/>
                                          <a:gd name="T17" fmla="*/ 52 h 128"/>
                                          <a:gd name="T18" fmla="*/ 54 w 107"/>
                                          <a:gd name="T19" fmla="*/ 0 h 128"/>
                                          <a:gd name="T20" fmla="*/ 60 w 107"/>
                                          <a:gd name="T21" fmla="*/ 119 h 128"/>
                                          <a:gd name="T22" fmla="*/ 57 w 107"/>
                                          <a:gd name="T23" fmla="*/ 122 h 128"/>
                                          <a:gd name="T24" fmla="*/ 56 w 107"/>
                                          <a:gd name="T25" fmla="*/ 122 h 128"/>
                                          <a:gd name="T26" fmla="*/ 54 w 107"/>
                                          <a:gd name="T27" fmla="*/ 120 h 128"/>
                                          <a:gd name="T28" fmla="*/ 51 w 107"/>
                                          <a:gd name="T29" fmla="*/ 122 h 128"/>
                                          <a:gd name="T30" fmla="*/ 50 w 107"/>
                                          <a:gd name="T31" fmla="*/ 122 h 128"/>
                                          <a:gd name="T32" fmla="*/ 47 w 107"/>
                                          <a:gd name="T33" fmla="*/ 119 h 128"/>
                                          <a:gd name="T34" fmla="*/ 37 w 107"/>
                                          <a:gd name="T35" fmla="*/ 48 h 128"/>
                                          <a:gd name="T36" fmla="*/ 40 w 107"/>
                                          <a:gd name="T37" fmla="*/ 44 h 128"/>
                                          <a:gd name="T38" fmla="*/ 44 w 107"/>
                                          <a:gd name="T39" fmla="*/ 47 h 128"/>
                                          <a:gd name="T40" fmla="*/ 54 w 107"/>
                                          <a:gd name="T41" fmla="*/ 112 h 128"/>
                                          <a:gd name="T42" fmla="*/ 63 w 107"/>
                                          <a:gd name="T43" fmla="*/ 47 h 128"/>
                                          <a:gd name="T44" fmla="*/ 67 w 107"/>
                                          <a:gd name="T45" fmla="*/ 44 h 128"/>
                                          <a:gd name="T46" fmla="*/ 70 w 107"/>
                                          <a:gd name="T47" fmla="*/ 48 h 128"/>
                                          <a:gd name="T48" fmla="*/ 60 w 107"/>
                                          <a:gd name="T49" fmla="*/ 11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7" h="128">
                                            <a:moveTo>
                                              <a:pt x="54" y="0"/>
                                            </a:moveTo>
                                            <a:cubicBezTo>
                                              <a:pt x="24" y="0"/>
                                              <a:pt x="0" y="23"/>
                                              <a:pt x="0" y="52"/>
                                            </a:cubicBezTo>
                                            <a:cubicBezTo>
                                              <a:pt x="0" y="71"/>
                                              <a:pt x="11" y="89"/>
                                              <a:pt x="28" y="98"/>
                                            </a:cubicBezTo>
                                            <a:cubicBezTo>
                                              <a:pt x="39" y="128"/>
                                              <a:pt x="39" y="128"/>
                                              <a:pt x="39" y="128"/>
                                            </a:cubicBezTo>
                                            <a:cubicBezTo>
                                              <a:pt x="40" y="128"/>
                                              <a:pt x="40" y="128"/>
                                              <a:pt x="40" y="128"/>
                                            </a:cubicBezTo>
                                            <a:cubicBezTo>
                                              <a:pt x="67" y="128"/>
                                              <a:pt x="67" y="128"/>
                                              <a:pt x="67" y="128"/>
                                            </a:cubicBezTo>
                                            <a:cubicBezTo>
                                              <a:pt x="67" y="128"/>
                                              <a:pt x="68" y="128"/>
                                              <a:pt x="68" y="128"/>
                                            </a:cubicBezTo>
                                            <a:cubicBezTo>
                                              <a:pt x="79" y="98"/>
                                              <a:pt x="79" y="98"/>
                                              <a:pt x="79" y="98"/>
                                            </a:cubicBezTo>
                                            <a:cubicBezTo>
                                              <a:pt x="96" y="89"/>
                                              <a:pt x="107" y="71"/>
                                              <a:pt x="107" y="52"/>
                                            </a:cubicBezTo>
                                            <a:cubicBezTo>
                                              <a:pt x="107" y="23"/>
                                              <a:pt x="83" y="0"/>
                                              <a:pt x="54" y="0"/>
                                            </a:cubicBezTo>
                                            <a:close/>
                                            <a:moveTo>
                                              <a:pt x="60" y="119"/>
                                            </a:moveTo>
                                            <a:cubicBezTo>
                                              <a:pt x="60" y="121"/>
                                              <a:pt x="59" y="122"/>
                                              <a:pt x="57" y="122"/>
                                            </a:cubicBezTo>
                                            <a:cubicBezTo>
                                              <a:pt x="56" y="122"/>
                                              <a:pt x="56" y="122"/>
                                              <a:pt x="56" y="122"/>
                                            </a:cubicBezTo>
                                            <a:cubicBezTo>
                                              <a:pt x="55" y="122"/>
                                              <a:pt x="54" y="121"/>
                                              <a:pt x="54" y="120"/>
                                            </a:cubicBezTo>
                                            <a:cubicBezTo>
                                              <a:pt x="53" y="121"/>
                                              <a:pt x="52" y="122"/>
                                              <a:pt x="51" y="122"/>
                                            </a:cubicBezTo>
                                            <a:cubicBezTo>
                                              <a:pt x="51" y="122"/>
                                              <a:pt x="51" y="122"/>
                                              <a:pt x="50" y="122"/>
                                            </a:cubicBezTo>
                                            <a:cubicBezTo>
                                              <a:pt x="49" y="122"/>
                                              <a:pt x="47" y="121"/>
                                              <a:pt x="47" y="119"/>
                                            </a:cubicBezTo>
                                            <a:cubicBezTo>
                                              <a:pt x="37" y="48"/>
                                              <a:pt x="37" y="48"/>
                                              <a:pt x="37" y="48"/>
                                            </a:cubicBezTo>
                                            <a:cubicBezTo>
                                              <a:pt x="36" y="46"/>
                                              <a:pt x="38" y="44"/>
                                              <a:pt x="40" y="44"/>
                                            </a:cubicBezTo>
                                            <a:cubicBezTo>
                                              <a:pt x="42" y="43"/>
                                              <a:pt x="44" y="45"/>
                                              <a:pt x="44" y="47"/>
                                            </a:cubicBezTo>
                                            <a:cubicBezTo>
                                              <a:pt x="54" y="112"/>
                                              <a:pt x="54" y="112"/>
                                              <a:pt x="54" y="112"/>
                                            </a:cubicBezTo>
                                            <a:cubicBezTo>
                                              <a:pt x="63" y="47"/>
                                              <a:pt x="63" y="47"/>
                                              <a:pt x="63" y="47"/>
                                            </a:cubicBezTo>
                                            <a:cubicBezTo>
                                              <a:pt x="63" y="45"/>
                                              <a:pt x="65" y="43"/>
                                              <a:pt x="67" y="44"/>
                                            </a:cubicBezTo>
                                            <a:cubicBezTo>
                                              <a:pt x="69" y="44"/>
                                              <a:pt x="71" y="46"/>
                                              <a:pt x="70" y="48"/>
                                            </a:cubicBezTo>
                                            <a:lnTo>
                                              <a:pt x="60" y="119"/>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6B2019C" id="组合 228" o:spid="_x0000_s1026" style="position:absolute;left:0;text-align:left;margin-left:18.75pt;margin-top:-1.1pt;width:35pt;height:31.5pt;z-index:251672576" coordsize="5460,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F+RgwAANFSAAAOAAAAZHJzL2Uyb0RvYy54bWzsXNtu20gSfV9g/4HQ4wIbixSpixFngM1M&#10;ggWyuwHi/QBaoi1hJVFLypYzXz+nurqpLrJbasnJjIPRPGSsVrFYdbrY5/SFevvT82oZPRVVvSjX&#10;N734Tb8XFetpOVusH256/7398PdxL6q3+XqWL8t1cdP7WtS9n9799S9vd5vrIinn5XJWVBGcrOvr&#10;3eamN99uN9dXV/V0Xqzy+k25Kdb48r6sVvkWH6uHq1mV7+B9tbxK+v3h1a6sZpuqnBZ1jdaf+cve&#10;O+X//r6Ybv9zf18X22h500NsW/Vvpf69o3+v3r3Nrx+qfDNfTHUY+RlRrPLFGjdtXP2cb/PosVp0&#10;XK0W06qsy/vtm2m5uirv7xfTQuWAbOJ+K5uPVfm4Ubk8XO8eNg1MgLaF09lup/9++lhtvmw+V0Bi&#10;t3kAFuoT5fJ8X63o/4gyelaQfW0gK5630RSNaZpmfQA7xVdpv9/PNKTTOXDvXDWd/6Kvy9Jhfzzh&#10;67J0NByPqSuuzE2vRCi7DYqj3udfvyz/L/N8UyhY62vk/7mKFrObXpIgnHW+QpF+qIqCSi6K+wMK&#10;i+4Pwwal+roGYNHd7l/lDOb547ZUnd8CLEnGQ8KGoBmPJwYaA92kj7wZgQT/ZQKA/Hr6WG8/FqXq&#10;gfzpU73lUp3hL1VoMx3sLe5wv1qiav92FSXjaBcNEnKFWmxMYsukH80jBbZtkFgGqdPFwLJwukiF&#10;gSuKzLJIXVEAjSYTdxQjy2LscoHhpnHhAQPd3Jg4fcQ2ooPECUdsQ+pMJrYx9YQSO1HFU/Bgujmf&#10;m56fPq911+OvKKfxta+qblPW9KBRHaDSbmNdR7CiIvAYIzgyVuWN+x02RteSsanQw8boRDIeBYWB&#10;7iLjSZAx9QtZA3seKw4HQh2gzEWSnKxGsgI/tJmh6kVghju6RX69ybfUAebPaHfTw9MVzW96Y4X9&#10;qnwqbkv19ZY6IeGE1CCIO+2/nj7eLab/KH61jRlWPWBu1PWHmyh24Ud+YhectfDKuOlRga24KTVA&#10;HvXK9kONCueq4NVDiR2+GcpldPKTjpXhEj40hN62IBAGHK9wQh2HehA56LZwHPQFAkt9MwF5qxBk&#10;8tNlWRdcwlRgiveaSlP57Yf+ulwuZh8WyyUVmZJFxftlFT3lEDTbZ/MkCKulevDXJV3Fd6EWUCrz&#10;FvPZXTn7Cg6DdIMmmpfVr71oBxl006v//5hXRS9a/nMNnp3EaQost+pDmo0SfKjsb+7sb9aPq/cl&#10;AsPgmK+n8IoYzZ/vtyy7oHuQ66f1l82UDClAze8c2PcneuqvDtGrEng50WfJqNFALqLvDwfm8TBq&#10;4XsSvRqFX0b0HRcYoxr+7DvJsU30HRenEf0IRN9xcSLRO32cRfSdSM4ieuUFj/qF6B1K5lUR/eiH&#10;I3o1qEK7KJZmIgwnOLYXJMm8qeveJnpTxC12E2JCEL3woSnS23YK0Qsn35LoBZYXou9pCfCDED10&#10;SIfo1SzmXKIf9geYxpOM1GrPcHwCYgft0TLIaDIYmanSiziepsC6sN1Tecwq55jysyjfm+B5bQh6&#10;5PJhzzoTmrx2fdgk7/TR5viuizbJd1KxJ/O0pNB1YZM8SY2OC3su705EcLzTh5jKe+AQHO/uFwHq&#10;vmMuHO9erXgdHI8SxFwehUezq/1s3SY5rkp04/5ryXdszMsepoS5Dd4xHiSCTHVbOCHzBcrecPrh&#10;piDe1GHY83nOQMxireWIIK8Yb/dDI2PAo6WYL58nSRIBgXbrbQsKVzsR/cMpyH5kGJpCkN1/mcz/&#10;sZN5sF2H41WPnsnx4yTTFD+cjNtr9sOsP9K7FviztWlx5pp9PAGzJWqR0p6poxAbFk8GRI8dE5vo&#10;k9jpRbBS4vRiU73Hi032MU2lu7HYbE+bEF0LDDn7hJw+bLqnZfeuD5vv3dkIvnc7EYTvzkbwfTx0&#10;xiIW7xNPNDa4vo620bV6GkPYZXXge60OeDdGYh7sb2Mj4dUmA9FJs/9yzq4BSlkpjYFTacSoa1IK&#10;ZqfisNSgNdjG2mgCd6NmM0W/QZRIcZJvMe/VjbFYTocJWcZKkwf55sV+IQUONwV5PSxbGng4LbXc&#10;HLKLwsnpEddWMqospNdwBGKtEgUGxxuDcDBuRMzonW6ptKvtomeqV7Q5gQewo2dUhZ2pZ/SpDCqD&#10;30vQZG6+PMr/Qs84fdhyxiNEbMZ187/gWzdv22rGnY1QM255ZssZWkPh4d3WeELOuCOResYt8k4V&#10;NB6VJwWNU6EROzYiLnYjA+bc2+yTwiB2kTN/EjmDCiARodn2iJqxZITkVZYWrrYgQmSVJEWLVk5S&#10;3XCwJtoWGzo2M7REEkTLqtE84SwYNApG1B13rNWBcOwicN0WHrHWanr5lKM71haEsVaGUhQxPiIL&#10;fbPwiLVGEatRqAcqK9kmS62F8eWcxR96zgIPRUfKqDnEmVLGzHvSzllK7LkMUQm0/fLtzlLSOr9Z&#10;CNzvrtjrMs6DkLaKGThd2CrG6cJmWdqz6EaBZBsedh4/tBWMOwpbwTjPQdr6JXGDYQsYpw8pX9TC&#10;UGe/SsgXZzJiOcYTilAvDaoX1fGat19Q1wfOUjKnquEe3XhYRTDnCGo43BREb7wKILzqMcjeOOGm&#10;8B0dtnfsOoj1FQ5fNQXFiv0RYkfh41hbmGOWJdIxL9yIHKgzEUA4DvoCJQoalcc3E5DrLEwhXDj+&#10;NS1XgIg6HK+Oc5/J8SnOUej9l2TQJXrszgxAOt+W6NU8VgVtT85PInpFjx0XpxN9x8VJRO+O4jSi&#10;d4NxItGrLa1OLqcSvTuUC9GrcfaHemmC3q3yvzSBGjfzuqNEb4kCwxmHm8I4bh+B8fp9iB6TgzZJ&#10;W7wdFivDJfn4SFuYY55fS8foOAQsiZ7bTiB6vkASvWMyj3fg7EK4EP1rInoIszbRY3KH1zcsolfv&#10;qGw+ldP/1dG6/GW22H4uF+st3iNRK27qRQ/9IiVfF/QeZYzDlSmXUNyP6ZVK3DW/NkcvB3iPMsPX&#10;pAkGUA/QB/zWy4sOX2bEpXFfL5n5p/8xVKwKZ29iLwDQ7N3hxRYGGa2RO9xgXGim+Or9QYcfPDCN&#10;zYQm4A4/YiWAiNnhx5YIcOF2ZK8HpJ7E0A9NQF5HYlFgSFsjjpCEWPC7ssEe0vqCy5UNt9+VDfjI&#10;A5TY3PAhTluxexT6vgRt0H1FgOXrvStvTdqo09IHcuwUJfisiWno6T1apm2MYpxXcbuyMc882dHK&#10;8N6VOh7jisrGPKNzNo7uI1oIcGWD7kMqsTHHuOJJUIBOe26uqGzQY1+C9MpAE3vmgX0gYPe6smFP&#10;PbAPBOy+HhzYsA98rmzYU8+YMLBR9w0KAxv1lFb4HKWA9+L2SMHICTrN/Ro4gYHTE72w2Bj5KiEV&#10;mMe+MdjGfEjrqI5KSG3MvUHZkPvGvFRA7gEqtSEfeUoqFZB7Oi+1IfeNCcS8DZpiTICovOzovpId&#10;Xf95NlQLhNEtNs9YFR15aR4locyNiDpsrk+d3YI4QrwneJzIO++T0qTk8I8U4JlR5uIsnjdVHLRn&#10;87BU9fLjLeamIbHrl79uMVgHmetUMSAHmetU8RJRkLlOFSNrkLnu1UYaH8adBlDCHWNkiPdUp4px&#10;MMhcp4rBLshcp4oRLchcp4phyzLnUnvBrz7QsE8rGERcrndFMk7KrFEf3qywF7Rbyw1i15y7IQvf&#10;NecLRqrbjGPS0ehM/NgO8DCNuvYnSiYGLQ4Q88JNQ9x8iCCkNci9LrmW+5DWIPdD9F43+pDWl7jn&#10;UmzlNBStQe7plQNEz71luvB4Y5DvCT9esjxUteOOrUqiZwCtJxSkcSQPxowhmOBHz+O5kloPkHvt&#10;x94F5MuGXPLQJfpxP/zkGXPmKwMlrR4gHoh4+xnJTM2EP38Zg9l2FNAa1FcZ5KEjTh564lZOptUM&#10;SS1EHeeaMu6WtiMe3ds58aiiW8OiF5c02LtbdbdyjwS5NytEshNJByvIxJhoWpuqOQ4OzWHgCJLZ&#10;GkaPNwaFTpMo8i1WWWk+RI3iFTc9IHJjkG9NzszNBnRcr3yLc1umseFZUSISIfHMxjieYYGin+SD&#10;rUGhD7kemfhN6McbT/ItEKAjRAS5IGFNEidAPuThhK8wcWMo7fbxiMuci6oT93Jt/1qUGbqamjVf&#10;X15A9LyAqH5EEL+bqH5fSf/GI/0wo/1Z/frQ/pco3/0GAAD//wMAUEsDBBQABgAIAAAAIQA1URrs&#10;3gAAAAgBAAAPAAAAZHJzL2Rvd25yZXYueG1sTI9Ba8JAEIXvhf6HZQq96SYRraTZiEjbkxSqhdLb&#10;mB2TYHY2ZNck/vtuTvX45j3e+ybbjKYRPXWutqwgnkcgiAuray4VfB/fZ2sQziNrbCyTghs52OSP&#10;Dxmm2g78Rf3BlyKUsEtRQeV9m0rpiooMurltiYN3tp1BH2RXSt3hEMpNI5MoWkmDNYeFClvaVVRc&#10;Dlej4GPAYbuI3/r95by7/R6Xnz/7mJR6fhq3ryA8jf4/DBN+QIc8MJ3slbUTjYLFyzIkFcySBMTk&#10;R9PhpGAVrUHmmbx/IP8DAAD//wMAUEsBAi0AFAAGAAgAAAAhALaDOJL+AAAA4QEAABMAAAAAAAAA&#10;AAAAAAAAAAAAAFtDb250ZW50X1R5cGVzXS54bWxQSwECLQAUAAYACAAAACEAOP0h/9YAAACUAQAA&#10;CwAAAAAAAAAAAAAAAAAvAQAAX3JlbHMvLnJlbHNQSwECLQAUAAYACAAAACEA+3zhfkYMAADRUgAA&#10;DgAAAAAAAAAAAAAAAAAuAgAAZHJzL2Uyb0RvYy54bWxQSwECLQAUAAYACAAAACEANVEa7N4AAAAI&#10;AQAADwAAAAAAAAAAAAAAAACgDgAAZHJzL2Rvd25yZXYueG1sUEsFBgAAAAAEAAQA8wAAAKsPAAAA&#10;AA==&#10;">
                            <v:shape id="Freeform 103" o:spid="_x0000_s1027" style="position:absolute;left:2286;top:4889;width:904;height:222;visibility:visible;mso-wrap-style:square;v-text-anchor:top"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mRwwAAANwAAAAPAAAAZHJzL2Rvd25yZXYueG1sRI9Bi8Iw&#10;FITvgv8hPGFvmtrDslajiCDsYUGs4vnZPNtq81KbWKu/fiMIHoeZ+YaZLTpTiZYaV1pWMB5FIIgz&#10;q0vOFex36+EPCOeRNVaWScGDHCzm/d4ME23vvKU29bkIEHYJKii8rxMpXVaQQTeyNXHwTrYx6INs&#10;cqkbvAe4qWQcRd/SYMlhocCaVgVll/RmFNQ7vtrnNt2b8+Z4uMX5xvy1UqmvQbecgvDU+U/43f7V&#10;CuJ4Aq8z4QjI+T8AAAD//wMAUEsBAi0AFAAGAAgAAAAhANvh9svuAAAAhQEAABMAAAAAAAAAAAAA&#10;AAAAAAAAAFtDb250ZW50X1R5cGVzXS54bWxQSwECLQAUAAYACAAAACEAWvQsW78AAAAVAQAACwAA&#10;AAAAAAAAAAAAAAAfAQAAX3JlbHMvLnJlbHNQSwECLQAUAAYACAAAACEAbGzJkcMAAADcAAAADwAA&#10;AAAAAAAAAAAAAAAHAgAAZHJzL2Rvd25yZXYueG1sUEsFBgAAAAADAAMAtwAAAPcCAAAAAA==&#10;" path="m28,c4,,4,,4,,2,,,2,,4,,6,2,8,4,8v24,,24,,24,c30,8,32,6,32,4,32,2,30,,28,xe" fillcolor="black [3213]" stroked="f">
                              <v:path arrowok="t" o:connecttype="custom" o:connectlocs="79167,0;11310,0;0,11113;11310,22225;79167,22225;90476,11113;79167,0" o:connectangles="0,0,0,0,0,0,0"/>
                            </v:shape>
                            <v:shape id="Freeform 104" o:spid="_x0000_s1028" style="position:absolute;left:2286;top:5270;width:904;height:206;visibility:visible;mso-wrap-style:square;v-text-anchor:top" coordsize="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tlvAAAANwAAAAPAAAAZHJzL2Rvd25yZXYueG1sRE/JCsIw&#10;EL0L/kMYwYtoagWRahQpCJ4EF+h1aKYLNpPSpFr/3hwEj4+37w6DacSLOldbVrBcRCCIc6trLhU8&#10;7qf5BoTzyBoby6TgQw4O+/Foh4m2b77S6+ZLEULYJaig8r5NpHR5RQbdwrbEgStsZ9AH2JVSd/gO&#10;4aaRcRStpcGaQ0OFLaUV5c9bbxRcZmmfmsKa7NL3V8fZLL5npNR0Mhy3IDwN/i/+uc9aQbwK88OZ&#10;cATk/gsAAP//AwBQSwECLQAUAAYACAAAACEA2+H2y+4AAACFAQAAEwAAAAAAAAAAAAAAAAAAAAAA&#10;W0NvbnRlbnRfVHlwZXNdLnhtbFBLAQItABQABgAIAAAAIQBa9CxbvwAAABUBAAALAAAAAAAAAAAA&#10;AAAAAB8BAABfcmVscy8ucmVsc1BLAQItABQABgAIAAAAIQDCbMtlvAAAANwAAAAPAAAAAAAAAAAA&#10;AAAAAAcCAABkcnMvZG93bnJldi54bWxQSwUGAAAAAAMAAwC3AAAA8AIAAAAA&#10;" path="m28,c4,,4,,4,,2,,,1,,4,,6,2,7,4,7v24,,24,,24,c30,7,32,6,32,4,32,1,30,,28,xe" fillcolor="black [3213]" stroked="f">
                              <v:path arrowok="t" o:connecttype="custom" o:connectlocs="79167,0;11310,0;0,11793;11310,20638;79167,20638;90476,11793;79167,0" o:connectangles="0,0,0,0,0,0,0"/>
                            </v:shape>
                            <v:shape id="Freeform 105" o:spid="_x0000_s1029" style="position:absolute;left:2603;width:206;height:793;visibility:visible;mso-wrap-style:square;v-text-anchor:top" coordsize="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51xgAAANwAAAAPAAAAZHJzL2Rvd25yZXYueG1sRI9Pa8JA&#10;FMTvgt9heYI33SQWkdRVtJDixVL/gPT2yL4modm3Ibsx8dt3CwWPw8z8hllvB1OLO7Wusqwgnkcg&#10;iHOrKy4UXC/ZbAXCeWSNtWVS8CAH2814tMZU255PdD/7QgQIuxQVlN43qZQuL8mgm9uGOHjftjXo&#10;g2wLqVvsA9zUMomipTRYcVgosaG3kvKfc2cUDO/L/S22+ep2/HipTl2THT6/YqWmk2H3CsLT4J/h&#10;//ZBK0gWMfydCUdAbn4BAAD//wMAUEsBAi0AFAAGAAgAAAAhANvh9svuAAAAhQEAABMAAAAAAAAA&#10;AAAAAAAAAAAAAFtDb250ZW50X1R5cGVzXS54bWxQSwECLQAUAAYACAAAACEAWvQsW78AAAAVAQAA&#10;CwAAAAAAAAAAAAAAAAAfAQAAX3JlbHMvLnJlbHNQSwECLQAUAAYACAAAACEAQYQOdcYAAADcAAAA&#10;DwAAAAAAAAAAAAAAAAAHAgAAZHJzL2Rvd25yZXYueG1sUEsFBgAAAAADAAMAtwAAAPoCAAAAAA==&#10;" path="m4,28v2,,3,-2,3,-4c7,4,7,4,7,4,7,2,6,,4,,1,,,2,,4,,24,,24,,24v,2,1,4,4,4xe" fillcolor="black [3213]" stroked="f">
                              <v:path arrowok="t" o:connecttype="custom" o:connectlocs="11791,79375;20635,68036;20635,11339;11791,0;0,11339;0,68036;11791,79375" o:connectangles="0,0,0,0,0,0,0"/>
                            </v:shape>
                            <v:shape id="Freeform 106" o:spid="_x0000_s1030" style="position:absolute;left:825;top:698;width:651;height:651;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gUxgAAANwAAAAPAAAAZHJzL2Rvd25yZXYueG1sRI9ba8JA&#10;FITfhf6H5RT6ZjZG0BJdpUqEXhDqBcS30+xpEpo9G7NbTf+9WxB8HGa+GWY670wtztS6yrKCQRSD&#10;IM6trrhQsN+t+s8gnEfWWFsmBX/kYD576E0x1fbCGzpvfSFCCbsUFZTeN6mULi/JoItsQxy8b9sa&#10;9EG2hdQtXkK5qWUSxyNpsOKwUGJDy5Lyn+2vUZC8HxeDk6bPt2yxzsYfX4cMi4NST4/dywSEp87f&#10;wzf6VQdumMD/mXAE5OwKAAD//wMAUEsBAi0AFAAGAAgAAAAhANvh9svuAAAAhQEAABMAAAAAAAAA&#10;AAAAAAAAAAAAAFtDb250ZW50X1R5cGVzXS54bWxQSwECLQAUAAYACAAAACEAWvQsW78AAAAVAQAA&#10;CwAAAAAAAAAAAAAAAAAfAQAAX3JlbHMvLnJlbHNQSwECLQAUAAYACAAAACEAbQlYFMYAAADcAAAA&#10;DwAAAAAAAAAAAAAAAAAHAgAAZHJzL2Rvd25yZXYueG1sUEsFBgAAAAADAAMAtwAAAPoCAAAAAA==&#10;" path="m19,23v1,,1,,2,-1c23,21,23,18,21,17,8,2,8,2,8,2,6,,4,,2,2,1,3,,5,2,7,16,22,16,22,16,22v,1,1,1,3,1xe" fillcolor="black [3213]" stroked="f">
                              <v:path arrowok="t" o:connecttype="custom" o:connectlocs="53761,65088;59420,62258;59420,48109;22636,5660;5659,5660;5659,19809;45272,62258;53761,65088" o:connectangles="0,0,0,0,0,0,0,0"/>
                            </v:shape>
                            <v:shape id="Freeform 107" o:spid="_x0000_s1031" style="position:absolute;left:4000;top:698;width:651;height:651;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2PxwAAANwAAAAPAAAAZHJzL2Rvd25yZXYueG1sRI/dasJA&#10;FITvC77DcgTv6kaFVqKrqKRgWwr1B8S7Y/aYBLNn0+w2Sd++Wyh4Ocx8M8x82ZlSNFS7wrKC0TAC&#10;QZxaXXCm4Hh4eZyCcB5ZY2mZFPyQg+Wi9zDHWNuWd9TsfSZCCbsYFeTeV7GULs3JoBvaijh4V1sb&#10;9EHWmdQ1tqHclHIcRU/SYMFhIceKNjmlt/23UTB+O69HX5o+X5P1R/L8fjklmJ2UGvS71QyEp87f&#10;w//0VgduMoG/M+EIyMUvAAAA//8DAFBLAQItABQABgAIAAAAIQDb4fbL7gAAAIUBAAATAAAAAAAA&#10;AAAAAAAAAAAAAABbQ29udGVudF9UeXBlc10ueG1sUEsBAi0AFAAGAAgAAAAhAFr0LFu/AAAAFQEA&#10;AAsAAAAAAAAAAAAAAAAAHwEAAF9yZWxzLy5yZWxzUEsBAi0AFAAGAAgAAAAhAAJF/Y/HAAAA3AAA&#10;AA8AAAAAAAAAAAAAAAAABwIAAGRycy9kb3ducmV2LnhtbFBLBQYAAAAAAwADALcAAAD7AgAAAAA=&#10;" path="m15,2c2,17,2,17,2,17,,18,,21,2,22v1,1,2,1,3,1c6,23,7,23,7,22,21,7,21,7,21,7v2,-2,2,-4,,-5c19,,17,,15,2xe" fillcolor="black [3213]" stroked="f">
                              <v:path arrowok="t" o:connecttype="custom" o:connectlocs="42443,5660;5659,48109;5659,62258;14148,65088;19807,62258;59420,19809;59420,5660;42443,5660" o:connectangles="0,0,0,0,0,0,0,0"/>
                            </v:shape>
                            <v:shape id="Freeform 108" o:spid="_x0000_s1032" style="position:absolute;top:2349;width:793;height:222;visibility:visible;mso-wrap-style:square;v-text-anchor:top" coordsize="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4wgAAANwAAAAPAAAAZHJzL2Rvd25yZXYueG1sRI9Bi8Iw&#10;FITvwv6H8ARvmlpFlq6pyILgycXqYY+P5m1b2ryUJGr77zeC4HGYmW+Y7W4wnbiT841lBctFAoK4&#10;tLrhSsH1cph/gvABWWNnmRSM5GGXf0y2mGn74DPdi1CJCGGfoYI6hD6T0pc1GfQL2xNH7886gyFK&#10;V0nt8BHhppNpkmykwYbjQo09fddUtsXNKDgdR1lS6n5vP2hsu1yPCRaNUrPpsP8CEWgI7/CrfdQK&#10;0tUanmfiEZD5PwAAAP//AwBQSwECLQAUAAYACAAAACEA2+H2y+4AAACFAQAAEwAAAAAAAAAAAAAA&#10;AAAAAAAAW0NvbnRlbnRfVHlwZXNdLnhtbFBLAQItABQABgAIAAAAIQBa9CxbvwAAABUBAAALAAAA&#10;AAAAAAAAAAAAAB8BAABfcmVscy8ucmVsc1BLAQItABQABgAIAAAAIQB/Fry4wgAAANwAAAAPAAAA&#10;AAAAAAAAAAAAAAcCAABkcnMvZG93bnJldi54bWxQSwUGAAAAAAMAAwC3AAAA9gIAAAAA&#10;" path="m24,c3,,3,,3,,1,,,2,,4,,6,1,8,3,8v21,,21,,21,c26,8,28,6,28,4,28,2,26,,24,xe" fillcolor="black [3213]" stroked="f">
                              <v:path arrowok="t" o:connecttype="custom" o:connectlocs="68027,0;8503,0;0,11113;8503,22225;68027,22225;79365,11113;68027,0" o:connectangles="0,0,0,0,0,0,0"/>
                            </v:shape>
                            <v:shape id="Freeform 109" o:spid="_x0000_s1033" style="position:absolute;left:4635;top:2349;width:825;height:222;visibility:visible;mso-wrap-style:square;v-text-anchor:top" coordsize="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gcxQAAANwAAAAPAAAAZHJzL2Rvd25yZXYueG1sRI9PawIx&#10;FMTvgt8hvII3zVZrKVujiK3F4qX+oefXzWt2cfOyJHFdv70pFDwOM/MbZrbobC1a8qFyrOBxlIEg&#10;Lpyu2Cg4HtbDFxAhImusHZOCKwVYzPu9GebaXXhH7T4akSAcclRQxtjkUoaiJIth5Bri5P06bzEm&#10;6Y3UHi8Jbms5zrJnabHitFBiQ6uSitP+bBV8H95+3r/CB35uzOSpXR+3Zue3Sg0euuUriEhdvIf/&#10;2xutYDyZwt+ZdATk/AYAAP//AwBQSwECLQAUAAYACAAAACEA2+H2y+4AAACFAQAAEwAAAAAAAAAA&#10;AAAAAAAAAAAAW0NvbnRlbnRfVHlwZXNdLnhtbFBLAQItABQABgAIAAAAIQBa9CxbvwAAABUBAAAL&#10;AAAAAAAAAAAAAAAAAB8BAABfcmVscy8ucmVsc1BLAQItABQABgAIAAAAIQDzHsgcxQAAANwAAAAP&#10;AAAAAAAAAAAAAAAAAAcCAABkcnMvZG93bnJldi54bWxQSwUGAAAAAAMAAwC3AAAA+QIAAAAA&#10;" path="m25,c4,,4,,4,,2,,,2,,4,,6,2,8,4,8v21,,21,,21,c27,8,29,6,29,4,29,2,27,,25,xe" fillcolor="black [3213]" stroked="f">
                              <v:path arrowok="t" o:connecttype="custom" o:connectlocs="71154,0;11385,0;0,11113;11385,22225;71154,22225;82539,11113;71154,0" o:connectangles="0,0,0,0,0,0,0"/>
                            </v:shape>
                            <v:shape id="Freeform 110" o:spid="_x0000_s1034" style="position:absolute;left:1206;top:1016;width:3048;height:3635;visibility:visible;mso-wrap-style:square;v-text-anchor:top" coordsize="10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jLswwAAANwAAAAPAAAAZHJzL2Rvd25yZXYueG1sRI9Pi8Iw&#10;FMTvC/sdwlvYy6LpKohUo4hlYb35D8Hbo3k2xealNLGt394IgsdhZn7DzJe9rURLjS8dK/gdJiCI&#10;c6dLLhQcD3+DKQgfkDVWjknBnTwsF58fc0y163hH7T4UIkLYp6jAhFCnUvrckEU/dDVx9C6usRii&#10;bAqpG+wi3FZylCQTabHkuGCwprWh/Lq/WQWXNs+6TdYaXY6Lddiebz+njJT6/upXMxCB+vAOv9r/&#10;WsFoPIHnmXgE5OIBAAD//wMAUEsBAi0AFAAGAAgAAAAhANvh9svuAAAAhQEAABMAAAAAAAAAAAAA&#10;AAAAAAAAAFtDb250ZW50X1R5cGVzXS54bWxQSwECLQAUAAYACAAAACEAWvQsW78AAAAVAQAACwAA&#10;AAAAAAAAAAAAAAAfAQAAX3JlbHMvLnJlbHNQSwECLQAUAAYACAAAACEASeIy7MMAAADcAAAADwAA&#10;AAAAAAAAAAAAAAAHAgAAZHJzL2Rvd25yZXYueG1sUEsFBgAAAAADAAMAtwAAAPcCAAAAAA==&#10;" path="m54,c24,,,23,,52,,71,11,89,28,98v11,30,11,30,11,30c40,128,40,128,40,128v27,,27,,27,c67,128,68,128,68,128,79,98,79,98,79,98,96,89,107,71,107,52,107,23,83,,54,xm60,119v,2,-1,3,-3,3c56,122,56,122,56,122v-1,,-2,-1,-2,-2c53,121,52,122,51,122v,,,,-1,c49,122,47,121,47,119,37,48,37,48,37,48v-1,-2,1,-4,3,-4c42,43,44,45,44,47v10,65,10,65,10,65c63,47,63,47,63,47v,-2,2,-4,4,-3c69,44,71,46,70,48l60,119xe" fillcolor="black [3213]" stroked="f">
                              <v:path arrowok="t" o:connecttype="custom" o:connectlocs="153804,0;0,147688;79750,278335;111080,363539;113929,363539;190830,363539;193679,363539;225009,278335;304759,147688;153804,0;170893,337978;162348,346498;159500,346498;153804,340818;145259,346498;142411,346498;133866,337978;105384,136327;113929,124967;125321,133487;153804,318097;179438,133487;190830,124967;199375,136327;170893,337978" o:connectangles="0,0,0,0,0,0,0,0,0,0,0,0,0,0,0,0,0,0,0,0,0,0,0,0,0"/>
                              <o:lock v:ext="edit" verticies="t"/>
                            </v:shape>
                          </v:group>
                        </w:pict>
                      </mc:Fallback>
                    </mc:AlternateContent>
                  </w:r>
                </w:p>
              </w:tc>
              <w:tc>
                <w:tcPr>
                  <w:tcW w:w="2421" w:type="dxa"/>
                </w:tcPr>
                <w:p w14:paraId="50B8FB99" w14:textId="77777777" w:rsidR="008F265F" w:rsidRDefault="00A542E4">
                  <w:pPr>
                    <w:pStyle w:val="1"/>
                    <w:snapToGrid w:val="0"/>
                    <w:spacing w:beforeLines="50" w:before="156" w:afterLines="50" w:after="156" w:line="340" w:lineRule="exact"/>
                    <w:ind w:firstLineChars="0" w:firstLine="0"/>
                    <w:rPr>
                      <w:rFonts w:ascii="宋体" w:eastAsia="仿宋_GB2312" w:hAnsi="宋体"/>
                      <w:b/>
                      <w:bCs/>
                      <w:kern w:val="0"/>
                      <w:szCs w:val="18"/>
                      <w:lang w:val="zh-CN"/>
                    </w:rPr>
                  </w:pPr>
                  <w:r>
                    <w:rPr>
                      <w:rFonts w:ascii="宋体" w:eastAsia="仿宋_GB2312" w:hAnsi="宋体"/>
                      <w:b/>
                      <w:bCs/>
                      <w:kern w:val="0"/>
                      <w:szCs w:val="18"/>
                      <w:lang w:val="zh-CN"/>
                    </w:rPr>
                    <w:t>您</w:t>
                  </w:r>
                  <w:r>
                    <w:rPr>
                      <w:rFonts w:ascii="宋体" w:eastAsia="仿宋_GB2312" w:hAnsi="宋体" w:hint="eastAsia"/>
                      <w:b/>
                      <w:bCs/>
                      <w:kern w:val="0"/>
                      <w:szCs w:val="18"/>
                      <w:lang w:val="zh-CN"/>
                    </w:rPr>
                    <w:t>应当</w:t>
                  </w:r>
                  <w:r>
                    <w:rPr>
                      <w:rFonts w:ascii="宋体" w:eastAsia="仿宋_GB2312" w:hAnsi="宋体"/>
                      <w:b/>
                      <w:bCs/>
                      <w:kern w:val="0"/>
                      <w:szCs w:val="18"/>
                      <w:lang w:val="zh-CN"/>
                    </w:rPr>
                    <w:t>特别注意的事项</w:t>
                  </w:r>
                </w:p>
              </w:tc>
              <w:tc>
                <w:tcPr>
                  <w:tcW w:w="6165" w:type="dxa"/>
                </w:tcPr>
                <w:p w14:paraId="6398ECC1" w14:textId="77777777" w:rsidR="008F265F" w:rsidRDefault="008F265F">
                  <w:pPr>
                    <w:adjustRightInd w:val="0"/>
                    <w:snapToGrid w:val="0"/>
                    <w:spacing w:line="360" w:lineRule="exact"/>
                    <w:rPr>
                      <w:rFonts w:ascii="宋体" w:eastAsia="仿宋_GB2312" w:hAnsi="宋体"/>
                      <w:szCs w:val="21"/>
                    </w:rPr>
                  </w:pPr>
                </w:p>
              </w:tc>
            </w:tr>
          </w:tbl>
          <w:p w14:paraId="5BF467C6" w14:textId="77777777" w:rsidR="008F265F" w:rsidRDefault="00A542E4">
            <w:pPr>
              <w:adjustRightInd w:val="0"/>
              <w:snapToGrid w:val="0"/>
              <w:spacing w:beforeLines="50" w:before="156" w:line="360" w:lineRule="exact"/>
              <w:ind w:leftChars="250" w:left="525" w:rightChars="250" w:right="525"/>
              <w:rPr>
                <w:rFonts w:ascii="宋体" w:eastAsia="仿宋_GB2312" w:hAnsi="宋体"/>
                <w:b/>
                <w:color w:val="000000" w:themeColor="text1"/>
              </w:rPr>
            </w:pPr>
            <w:r>
              <w:rPr>
                <w:rFonts w:ascii="宋体" w:eastAsia="仿宋_GB2312" w:hAnsi="宋体"/>
                <w:noProof/>
              </w:rPr>
              <mc:AlternateContent>
                <mc:Choice Requires="wps">
                  <w:drawing>
                    <wp:anchor distT="0" distB="0" distL="114300" distR="114300" simplePos="0" relativeHeight="251673600" behindDoc="1" locked="0" layoutInCell="1" allowOverlap="1" wp14:anchorId="5552414E" wp14:editId="4FA02873">
                      <wp:simplePos x="0" y="0"/>
                      <wp:positionH relativeFrom="column">
                        <wp:posOffset>103505</wp:posOffset>
                      </wp:positionH>
                      <wp:positionV relativeFrom="paragraph">
                        <wp:posOffset>123825</wp:posOffset>
                      </wp:positionV>
                      <wp:extent cx="5981700" cy="1666875"/>
                      <wp:effectExtent l="0" t="0" r="19050" b="28575"/>
                      <wp:wrapNone/>
                      <wp:docPr id="237" name="圆角矩形 237"/>
                      <wp:cNvGraphicFramePr/>
                      <a:graphic xmlns:a="http://schemas.openxmlformats.org/drawingml/2006/main">
                        <a:graphicData uri="http://schemas.microsoft.com/office/word/2010/wordprocessingShape">
                          <wps:wsp>
                            <wps:cNvSpPr/>
                            <wps:spPr>
                              <a:xfrm>
                                <a:off x="0" y="0"/>
                                <a:ext cx="5981700" cy="1666875"/>
                              </a:xfrm>
                              <a:prstGeom prst="round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5A0775B" id="圆角矩形 237" o:spid="_x0000_s1026" style="position:absolute;left:0;text-align:left;margin-left:8.15pt;margin-top:9.75pt;width:471pt;height:131.2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flaAIAAFIFAAAOAAAAZHJzL2Uyb0RvYy54bWysVE1v2zAMvQ/YfxB0X20HSdoGdYogRYcB&#10;xVo0HXZWZCkWIIuapMTJfv0o+SPdVuxQLAeFMslH8onkze2x0eQgnFdgSlpc5JQIw6FSZlfSby/3&#10;n64o8YGZimkwoqQn4ent8uOHm9YuxARq0JVwBEGMX7S2pHUIdpFlnteiYf4CrDColOAaFvDqdlnl&#10;WIvojc4meT7PWnCVdcCF9/j1rlPSZcKXUvDwKKUXgeiSYm4hnS6d23hmyxu22Dlma8X7NNg7smiY&#10;Mhh0hLpjgZG9U39BNYo78CDDBYcmAykVF6kGrKbI/6hmUzMrUi1IjrcjTf7/wfKvh419ckhDa/3C&#10;oxirOErXxH/MjxwTWaeRLHEMhOPH2fVVcZkjpxx1xXw+v7qcRTqzs7t1PnwW0JAolNTB3lTP+CSJ&#10;KXZ48KGzH+xiSA9aVfdK63SJbSDW2pEDwwfc7iZ9hN+stHmXIyYaPbNz4UkKJy0injbPQhJVYamT&#10;lHDqyXMyjHNhQtGpalaJLsdZjr8hyyH9xEoCjMgSqxuxe4DBsgMZsDt6evvoKlJLj875vxLrnEeP&#10;FBlMGJ0bZcC9BaCxqj5yZz+Q1FETWdpCdXpyxEE3UN7ye4Vv/MB8eGIOJwj7ArdCeMRDamhLCr1E&#10;SQ3u51vfoz02NmopaXEiS+p/7JkTlOgvBlv+uphO4winy3R2OcGLe63ZvtaYfbMG7JkC94/lSYz2&#10;QQ+idNB8x+WxilFRxQzH2CXlwQ2Xdeg2Ba4fLlarZIZja1l4MBvLI3hk1cBqH0Cq1M1ndnrWcHDT&#10;8/dLJm6G1/dkdV6Fy18AAAD//wMAUEsDBBQABgAIAAAAIQDnjXQw3wAAAAkBAAAPAAAAZHJzL2Rv&#10;d25yZXYueG1sTI/BTsMwEETvSPyDtUjcqE2QS5rGqaBSDxxJEaI3N94mgdgOttsGvp7lBKfV7Ixm&#10;35aryQ7shCH23im4nQlg6BpvetcqeNlubnJgMWln9OAdKvjCCKvq8qLUhfFn94ynOrWMSlwstIIu&#10;pbHgPDYdWh1nfkRH3sEHqxPJ0HIT9JnK7cAzIebc6t7RhU6PuO6w+aiPVsGjrN93r2/iMMh2Ez/z&#10;77B+kvdKXV9ND0tgCaf0F4ZffEKHipj2/uhMZAPp+R0laS4kMPIXMqfFXkGWZwJ4VfL/H1Q/AAAA&#10;//8DAFBLAQItABQABgAIAAAAIQC2gziS/gAAAOEBAAATAAAAAAAAAAAAAAAAAAAAAABbQ29udGVu&#10;dF9UeXBlc10ueG1sUEsBAi0AFAAGAAgAAAAhADj9If/WAAAAlAEAAAsAAAAAAAAAAAAAAAAALwEA&#10;AF9yZWxzLy5yZWxzUEsBAi0AFAAGAAgAAAAhAN7wV+VoAgAAUgUAAA4AAAAAAAAAAAAAAAAALgIA&#10;AGRycy9lMm9Eb2MueG1sUEsBAi0AFAAGAAgAAAAhAOeNdDDfAAAACQEAAA8AAAAAAAAAAAAAAAAA&#10;wgQAAGRycy9kb3ducmV2LnhtbFBLBQYAAAAABAAEAPMAAADOBQAAAAA=&#10;" fillcolor="#e7e6e6 [3214]" strokecolor="#e7e6e6 [3214]" strokeweight="1pt">
                      <v:stroke joinstyle="miter"/>
                    </v:roundrect>
                  </w:pict>
                </mc:Fallback>
              </mc:AlternateContent>
            </w:r>
            <w:r>
              <w:rPr>
                <w:rFonts w:ascii="宋体" w:eastAsia="仿宋_GB2312" w:hAnsi="宋体" w:hint="eastAsia"/>
                <w:b/>
                <w:color w:val="000000" w:themeColor="text1"/>
              </w:rPr>
              <w:t>本产品保险责任有等待期，请您留意</w:t>
            </w:r>
            <w:r>
              <w:rPr>
                <w:rFonts w:ascii="宋体" w:eastAsia="仿宋_GB2312" w:hAnsi="宋体"/>
                <w:b/>
                <w:color w:val="000000" w:themeColor="text1"/>
              </w:rPr>
              <w:t>............................................</w:t>
            </w:r>
            <w:r>
              <w:rPr>
                <w:rFonts w:ascii="宋体" w:eastAsia="仿宋_GB2312" w:hAnsi="宋体" w:hint="eastAsia"/>
                <w:b/>
                <w:color w:val="000000" w:themeColor="text1"/>
              </w:rPr>
              <w:t>第二条</w:t>
            </w:r>
          </w:p>
          <w:p w14:paraId="4A3E018D" w14:textId="77777777" w:rsidR="008F265F" w:rsidRDefault="00A542E4">
            <w:pPr>
              <w:adjustRightInd w:val="0"/>
              <w:snapToGrid w:val="0"/>
              <w:spacing w:line="360" w:lineRule="exact"/>
              <w:ind w:leftChars="250" w:left="525" w:rightChars="250" w:right="525"/>
              <w:rPr>
                <w:rFonts w:ascii="宋体" w:eastAsia="仿宋_GB2312" w:hAnsi="宋体"/>
                <w:b/>
                <w:color w:val="000000" w:themeColor="text1"/>
              </w:rPr>
            </w:pPr>
            <w:r>
              <w:rPr>
                <w:rFonts w:ascii="宋体" w:eastAsia="仿宋_GB2312" w:hAnsi="宋体"/>
                <w:b/>
                <w:color w:val="000000" w:themeColor="text1"/>
              </w:rPr>
              <w:t>在</w:t>
            </w:r>
            <w:r>
              <w:rPr>
                <w:rFonts w:ascii="宋体" w:eastAsia="仿宋_GB2312" w:hAnsi="宋体" w:hint="eastAsia"/>
                <w:b/>
                <w:color w:val="000000" w:themeColor="text1"/>
              </w:rPr>
              <w:t>责任免除的情况</w:t>
            </w:r>
            <w:r>
              <w:rPr>
                <w:rFonts w:ascii="宋体" w:eastAsia="仿宋_GB2312" w:hAnsi="宋体"/>
                <w:b/>
                <w:color w:val="000000" w:themeColor="text1"/>
              </w:rPr>
              <w:t>下，我们不承担保险责任</w:t>
            </w:r>
            <w:r>
              <w:rPr>
                <w:rFonts w:ascii="宋体" w:eastAsia="仿宋_GB2312" w:hAnsi="宋体"/>
                <w:b/>
                <w:color w:val="000000" w:themeColor="text1"/>
              </w:rPr>
              <w:t>.......................</w:t>
            </w:r>
            <w:r>
              <w:rPr>
                <w:rFonts w:ascii="宋体" w:eastAsia="仿宋_GB2312" w:hAnsi="宋体" w:hint="eastAsia"/>
                <w:b/>
              </w:rPr>
              <w:t>..</w:t>
            </w:r>
            <w:r>
              <w:rPr>
                <w:rFonts w:ascii="宋体" w:eastAsia="仿宋_GB2312" w:hAnsi="宋体"/>
                <w:b/>
                <w:color w:val="000000" w:themeColor="text1"/>
              </w:rPr>
              <w:t>.....</w:t>
            </w:r>
            <w:r>
              <w:rPr>
                <w:rFonts w:ascii="宋体" w:eastAsia="仿宋_GB2312" w:hAnsi="宋体" w:hint="eastAsia"/>
                <w:b/>
                <w:color w:val="000000" w:themeColor="text1"/>
              </w:rPr>
              <w:t>第</w:t>
            </w:r>
            <w:r>
              <w:rPr>
                <w:rFonts w:ascii="宋体" w:eastAsia="仿宋_GB2312" w:hAnsi="宋体"/>
                <w:b/>
                <w:color w:val="000000" w:themeColor="text1"/>
              </w:rPr>
              <w:t>五</w:t>
            </w:r>
            <w:r>
              <w:rPr>
                <w:rFonts w:ascii="宋体" w:eastAsia="仿宋_GB2312" w:hAnsi="宋体" w:hint="eastAsia"/>
                <w:b/>
                <w:color w:val="000000" w:themeColor="text1"/>
              </w:rPr>
              <w:t>条、第</w:t>
            </w:r>
            <w:r>
              <w:rPr>
                <w:rFonts w:ascii="宋体" w:eastAsia="仿宋_GB2312" w:hAnsi="宋体"/>
                <w:b/>
                <w:color w:val="000000" w:themeColor="text1"/>
              </w:rPr>
              <w:t>六</w:t>
            </w:r>
            <w:r>
              <w:rPr>
                <w:rFonts w:ascii="宋体" w:eastAsia="仿宋_GB2312" w:hAnsi="宋体" w:hint="eastAsia"/>
                <w:b/>
                <w:color w:val="000000" w:themeColor="text1"/>
              </w:rPr>
              <w:t>条</w:t>
            </w:r>
          </w:p>
          <w:p w14:paraId="47CE6A45" w14:textId="77777777" w:rsidR="008F265F" w:rsidRDefault="00A542E4">
            <w:pPr>
              <w:adjustRightInd w:val="0"/>
              <w:snapToGrid w:val="0"/>
              <w:spacing w:line="360" w:lineRule="exact"/>
              <w:ind w:leftChars="250" w:left="525" w:rightChars="250" w:right="525"/>
              <w:rPr>
                <w:rFonts w:ascii="宋体" w:eastAsiaTheme="minorEastAsia" w:hAnsi="宋体"/>
                <w:b/>
              </w:rPr>
            </w:pPr>
            <w:r>
              <w:rPr>
                <w:rFonts w:ascii="宋体" w:eastAsia="仿宋_GB2312" w:hAnsi="宋体" w:hint="eastAsia"/>
                <w:b/>
              </w:rPr>
              <w:t>犹豫期后解除保险合同</w:t>
            </w:r>
            <w:r>
              <w:rPr>
                <w:rFonts w:ascii="宋体" w:eastAsia="仿宋_GB2312" w:hAnsi="宋体"/>
                <w:b/>
              </w:rPr>
              <w:t>会给</w:t>
            </w:r>
            <w:r>
              <w:rPr>
                <w:rFonts w:ascii="宋体" w:eastAsia="仿宋_GB2312" w:hAnsi="宋体" w:hint="eastAsia"/>
                <w:b/>
              </w:rPr>
              <w:t>您</w:t>
            </w:r>
            <w:r>
              <w:rPr>
                <w:rFonts w:ascii="宋体" w:eastAsia="仿宋_GB2312" w:hAnsi="宋体"/>
                <w:b/>
              </w:rPr>
              <w:t>造成一定的损失，请</w:t>
            </w:r>
            <w:r>
              <w:rPr>
                <w:rFonts w:ascii="宋体" w:eastAsia="仿宋_GB2312" w:hAnsi="宋体" w:hint="eastAsia"/>
                <w:b/>
              </w:rPr>
              <w:t>您</w:t>
            </w:r>
            <w:r>
              <w:rPr>
                <w:rFonts w:ascii="宋体" w:eastAsia="仿宋_GB2312" w:hAnsi="宋体"/>
                <w:b/>
              </w:rPr>
              <w:t>慎重决策</w:t>
            </w:r>
            <w:r>
              <w:rPr>
                <w:rFonts w:ascii="宋体" w:eastAsia="仿宋_GB2312" w:hAnsi="宋体"/>
                <w:b/>
              </w:rPr>
              <w:t>...</w:t>
            </w:r>
            <w:r>
              <w:rPr>
                <w:rFonts w:ascii="宋体" w:eastAsia="仿宋_GB2312" w:hAnsi="宋体" w:hint="eastAsia"/>
                <w:b/>
              </w:rPr>
              <w:t>..</w:t>
            </w:r>
            <w:r>
              <w:rPr>
                <w:rFonts w:ascii="宋体" w:eastAsia="仿宋_GB2312" w:hAnsi="宋体"/>
                <w:b/>
              </w:rPr>
              <w:t>......</w:t>
            </w:r>
            <w:r>
              <w:rPr>
                <w:rFonts w:ascii="宋体" w:eastAsia="仿宋_GB2312" w:hAnsi="宋体" w:hint="eastAsia"/>
                <w:b/>
              </w:rPr>
              <w:t>.........</w:t>
            </w:r>
            <w:r>
              <w:rPr>
                <w:rFonts w:ascii="宋体" w:eastAsia="仿宋_GB2312" w:hAnsi="宋体" w:hint="eastAsia"/>
                <w:b/>
              </w:rPr>
              <w:t>第十六条</w:t>
            </w:r>
          </w:p>
          <w:p w14:paraId="54CFB00F" w14:textId="77777777" w:rsidR="008F265F" w:rsidRDefault="00A542E4">
            <w:pPr>
              <w:adjustRightInd w:val="0"/>
              <w:snapToGrid w:val="0"/>
              <w:spacing w:line="360" w:lineRule="exact"/>
              <w:ind w:leftChars="250" w:left="525" w:rightChars="250" w:right="525"/>
              <w:rPr>
                <w:rFonts w:ascii="宋体" w:eastAsia="仿宋_GB2312" w:hAnsi="宋体"/>
                <w:b/>
                <w:color w:val="000000" w:themeColor="text1"/>
              </w:rPr>
            </w:pPr>
            <w:r>
              <w:rPr>
                <w:rFonts w:ascii="宋体" w:eastAsia="仿宋_GB2312" w:hAnsi="宋体" w:hint="eastAsia"/>
                <w:b/>
                <w:color w:val="000000" w:themeColor="text1"/>
              </w:rPr>
              <w:t>请您特别注意“轻症疾病的定义”、“中症疾病的定义”、“重大疾病的定义”、“少儿特定疾病的</w:t>
            </w:r>
          </w:p>
          <w:p w14:paraId="3EA204DE" w14:textId="77777777" w:rsidR="008F265F" w:rsidRDefault="00A542E4">
            <w:pPr>
              <w:adjustRightInd w:val="0"/>
              <w:snapToGrid w:val="0"/>
              <w:spacing w:line="360" w:lineRule="exact"/>
              <w:ind w:leftChars="250" w:left="525" w:rightChars="360" w:right="756"/>
              <w:rPr>
                <w:rFonts w:ascii="宋体" w:eastAsia="仿宋_GB2312" w:hAnsi="宋体"/>
                <w:b/>
                <w:color w:val="000000" w:themeColor="text1"/>
              </w:rPr>
            </w:pPr>
            <w:r>
              <w:rPr>
                <w:rFonts w:ascii="宋体" w:eastAsia="仿宋_GB2312" w:hAnsi="宋体" w:hint="eastAsia"/>
                <w:b/>
                <w:color w:val="000000" w:themeColor="text1"/>
              </w:rPr>
              <w:t>定义”、“少儿罕见疾病的定义”</w:t>
            </w:r>
            <w:r>
              <w:rPr>
                <w:rFonts w:ascii="宋体" w:eastAsia="仿宋_GB2312" w:hAnsi="宋体"/>
                <w:b/>
                <w:color w:val="000000" w:themeColor="text1"/>
              </w:rPr>
              <w:t>...</w:t>
            </w:r>
            <w:r>
              <w:rPr>
                <w:rFonts w:ascii="宋体" w:eastAsia="仿宋_GB2312" w:hAnsi="宋体"/>
                <w:b/>
              </w:rPr>
              <w:t>.</w:t>
            </w:r>
            <w:r>
              <w:rPr>
                <w:rFonts w:ascii="宋体" w:eastAsia="仿宋_GB2312" w:hAnsi="宋体" w:hint="eastAsia"/>
                <w:b/>
              </w:rPr>
              <w:t>..</w:t>
            </w:r>
            <w:r>
              <w:rPr>
                <w:rFonts w:ascii="宋体" w:eastAsia="仿宋_GB2312" w:hAnsi="宋体"/>
                <w:b/>
              </w:rPr>
              <w:t>......</w:t>
            </w:r>
            <w:r>
              <w:rPr>
                <w:rFonts w:ascii="宋体" w:eastAsia="仿宋_GB2312" w:hAnsi="宋体" w:hint="eastAsia"/>
                <w:b/>
              </w:rPr>
              <w:t>.</w:t>
            </w:r>
            <w:r>
              <w:rPr>
                <w:rFonts w:ascii="宋体" w:eastAsia="仿宋_GB2312" w:hAnsi="宋体"/>
                <w:b/>
                <w:color w:val="000000" w:themeColor="text1"/>
              </w:rPr>
              <w:t>........</w:t>
            </w:r>
            <w:r>
              <w:rPr>
                <w:rFonts w:ascii="宋体" w:eastAsia="仿宋_GB2312" w:hAnsi="宋体"/>
                <w:b/>
                <w:color w:val="000000" w:themeColor="text1"/>
              </w:rPr>
              <w:t>第</w:t>
            </w:r>
            <w:r>
              <w:rPr>
                <w:rFonts w:ascii="宋体" w:eastAsia="仿宋_GB2312" w:hAnsi="宋体" w:hint="eastAsia"/>
                <w:b/>
                <w:color w:val="000000" w:themeColor="text1"/>
              </w:rPr>
              <w:t>二十</w:t>
            </w:r>
            <w:r>
              <w:rPr>
                <w:rFonts w:ascii="宋体" w:eastAsia="仿宋_GB2312" w:hAnsi="宋体"/>
                <w:b/>
                <w:color w:val="000000" w:themeColor="text1"/>
              </w:rPr>
              <w:t>九</w:t>
            </w:r>
            <w:r>
              <w:rPr>
                <w:rFonts w:ascii="宋体" w:eastAsia="仿宋_GB2312" w:hAnsi="宋体" w:hint="eastAsia"/>
                <w:b/>
                <w:color w:val="000000" w:themeColor="text1"/>
              </w:rPr>
              <w:t>条、第三十条、</w:t>
            </w:r>
            <w:r>
              <w:rPr>
                <w:rFonts w:ascii="宋体" w:eastAsia="仿宋_GB2312" w:hAnsi="宋体"/>
                <w:b/>
                <w:color w:val="000000" w:themeColor="text1"/>
              </w:rPr>
              <w:t>第</w:t>
            </w:r>
            <w:r>
              <w:rPr>
                <w:rFonts w:ascii="宋体" w:eastAsia="仿宋_GB2312" w:hAnsi="宋体" w:hint="eastAsia"/>
                <w:b/>
                <w:color w:val="000000" w:themeColor="text1"/>
              </w:rPr>
              <w:t>三十一条、第三十二条、第三十三条</w:t>
            </w:r>
          </w:p>
          <w:p w14:paraId="68A1952F" w14:textId="77777777" w:rsidR="008F265F" w:rsidRDefault="00A542E4">
            <w:pPr>
              <w:adjustRightInd w:val="0"/>
              <w:snapToGrid w:val="0"/>
              <w:spacing w:line="360" w:lineRule="exact"/>
              <w:ind w:leftChars="250" w:left="525" w:rightChars="250" w:right="525"/>
              <w:rPr>
                <w:rFonts w:ascii="宋体" w:eastAsia="仿宋_GB2312" w:hAnsi="宋体"/>
                <w:b/>
                <w:bCs/>
                <w:kern w:val="0"/>
                <w:sz w:val="24"/>
                <w:szCs w:val="18"/>
                <w:lang w:val="zh-CN"/>
              </w:rPr>
            </w:pPr>
            <w:r>
              <w:rPr>
                <w:rFonts w:ascii="宋体" w:eastAsia="仿宋_GB2312" w:hAnsi="宋体" w:hint="eastAsia"/>
                <w:b/>
                <w:color w:val="000000" w:themeColor="text1"/>
              </w:rPr>
              <w:t>请您特别注意一些重要术语的释义</w:t>
            </w:r>
            <w:r>
              <w:rPr>
                <w:rFonts w:ascii="宋体" w:eastAsia="仿宋_GB2312" w:hAnsi="宋体"/>
                <w:b/>
                <w:color w:val="000000" w:themeColor="text1"/>
              </w:rPr>
              <w:t>...........................................</w:t>
            </w:r>
            <w:r>
              <w:rPr>
                <w:rFonts w:ascii="宋体" w:eastAsia="仿宋_GB2312" w:hAnsi="宋体" w:hint="eastAsia"/>
                <w:b/>
                <w:color w:val="000000" w:themeColor="text1"/>
              </w:rPr>
              <w:t>每页脚注</w:t>
            </w:r>
          </w:p>
          <w:p w14:paraId="19E5126E" w14:textId="77777777" w:rsidR="008F265F" w:rsidRDefault="008F265F">
            <w:pPr>
              <w:adjustRightInd w:val="0"/>
              <w:snapToGrid w:val="0"/>
              <w:spacing w:line="360" w:lineRule="exact"/>
              <w:ind w:rightChars="250" w:right="525"/>
              <w:rPr>
                <w:rFonts w:ascii="宋体" w:eastAsia="仿宋_GB2312" w:hAnsi="宋体"/>
                <w:b/>
                <w:kern w:val="0"/>
                <w:sz w:val="24"/>
                <w:lang w:val="zh-CN"/>
              </w:rPr>
            </w:pPr>
          </w:p>
        </w:tc>
      </w:tr>
      <w:tr w:rsidR="008F265F" w14:paraId="36129AEC" w14:textId="77777777">
        <w:trPr>
          <w:gridAfter w:val="1"/>
          <w:wAfter w:w="280" w:type="dxa"/>
          <w:trHeight w:val="13720"/>
          <w:jc w:val="center"/>
        </w:trPr>
        <w:tc>
          <w:tcPr>
            <w:tcW w:w="9926" w:type="dxa"/>
            <w:tcBorders>
              <w:top w:val="double" w:sz="4" w:space="0" w:color="auto"/>
            </w:tcBorders>
          </w:tcPr>
          <w:p w14:paraId="2B890758" w14:textId="77777777" w:rsidR="008F265F" w:rsidRDefault="00A542E4">
            <w:pPr>
              <w:adjustRightInd w:val="0"/>
              <w:snapToGrid w:val="0"/>
              <w:spacing w:beforeLines="50" w:before="156" w:afterLines="50" w:after="156" w:line="360" w:lineRule="exact"/>
              <w:ind w:rightChars="250" w:right="525"/>
              <w:jc w:val="center"/>
              <w:rPr>
                <w:rFonts w:ascii="宋体" w:eastAsia="仿宋_GB2312" w:hAnsi="宋体"/>
                <w:b/>
                <w:bCs/>
                <w:kern w:val="0"/>
                <w:sz w:val="24"/>
                <w:szCs w:val="18"/>
                <w:lang w:val="zh-CN"/>
              </w:rPr>
            </w:pPr>
            <w:bookmarkStart w:id="0" w:name="_Hlk156162071"/>
            <w:r>
              <w:rPr>
                <w:rFonts w:ascii="宋体" w:eastAsia="仿宋_GB2312" w:hAnsi="宋体" w:hint="eastAsia"/>
                <w:b/>
                <w:bCs/>
                <w:kern w:val="0"/>
                <w:sz w:val="24"/>
                <w:szCs w:val="18"/>
                <w:lang w:val="zh-CN"/>
              </w:rPr>
              <w:lastRenderedPageBreak/>
              <w:t>条款目录</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990"/>
              <w:gridCol w:w="6657"/>
            </w:tblGrid>
            <w:tr w:rsidR="008F265F" w14:paraId="16787D22" w14:textId="77777777">
              <w:trPr>
                <w:trHeight w:val="340"/>
              </w:trPr>
              <w:tc>
                <w:tcPr>
                  <w:tcW w:w="1006" w:type="dxa"/>
                  <w:tcBorders>
                    <w:top w:val="nil"/>
                    <w:left w:val="nil"/>
                    <w:bottom w:val="nil"/>
                  </w:tcBorders>
                </w:tcPr>
                <w:p w14:paraId="42EB7B08" w14:textId="77777777" w:rsidR="008F265F" w:rsidRDefault="00A542E4">
                  <w:pPr>
                    <w:spacing w:line="280" w:lineRule="exact"/>
                    <w:rPr>
                      <w:rFonts w:ascii="宋体" w:eastAsia="仿宋_GB2312" w:hAnsi="宋体"/>
                      <w:b/>
                    </w:rPr>
                  </w:pPr>
                  <w:r>
                    <w:rPr>
                      <w:rFonts w:ascii="宋体" w:eastAsia="仿宋_GB2312" w:hAnsi="宋体"/>
                      <w:noProof/>
                    </w:rPr>
                    <mc:AlternateContent>
                      <mc:Choice Requires="wps">
                        <w:drawing>
                          <wp:anchor distT="0" distB="0" distL="114300" distR="114300" simplePos="0" relativeHeight="251666432" behindDoc="0" locked="0" layoutInCell="1" allowOverlap="1" wp14:anchorId="4E3CAFD3" wp14:editId="093208A6">
                            <wp:simplePos x="0" y="0"/>
                            <wp:positionH relativeFrom="column">
                              <wp:posOffset>35560</wp:posOffset>
                            </wp:positionH>
                            <wp:positionV relativeFrom="paragraph">
                              <wp:posOffset>81915</wp:posOffset>
                            </wp:positionV>
                            <wp:extent cx="427990" cy="396240"/>
                            <wp:effectExtent l="0" t="0" r="0" b="3810"/>
                            <wp:wrapNone/>
                            <wp:docPr id="1" name="Shape 2619"/>
                            <wp:cNvGraphicFramePr/>
                            <a:graphic xmlns:a="http://schemas.openxmlformats.org/drawingml/2006/main">
                              <a:graphicData uri="http://schemas.microsoft.com/office/word/2010/wordprocessingShape">
                                <wps:wsp>
                                  <wps:cNvSpPr/>
                                  <wps:spPr>
                                    <a:xfrm>
                                      <a:off x="0" y="0"/>
                                      <a:ext cx="428129" cy="396416"/>
                                    </a:xfrm>
                                    <a:custGeom>
                                      <a:avLst/>
                                      <a:gdLst/>
                                      <a:ahLst/>
                                      <a:cxnLst>
                                        <a:cxn ang="0">
                                          <a:pos x="wd2" y="hd2"/>
                                        </a:cxn>
                                        <a:cxn ang="5400000">
                                          <a:pos x="wd2" y="hd2"/>
                                        </a:cxn>
                                        <a:cxn ang="10800000">
                                          <a:pos x="wd2" y="hd2"/>
                                        </a:cxn>
                                        <a:cxn ang="16200000">
                                          <a:pos x="wd2" y="hd2"/>
                                        </a:cxn>
                                      </a:cxnLst>
                                      <a:rect l="0" t="0" r="r" b="b"/>
                                      <a:pathLst>
                                        <a:path w="21600" h="21583" extrusionOk="0">
                                          <a:moveTo>
                                            <a:pt x="12364" y="11941"/>
                                          </a:moveTo>
                                          <a:lnTo>
                                            <a:pt x="13062" y="14033"/>
                                          </a:lnTo>
                                          <a:lnTo>
                                            <a:pt x="11365" y="12790"/>
                                          </a:lnTo>
                                          <a:lnTo>
                                            <a:pt x="10785" y="12365"/>
                                          </a:lnTo>
                                          <a:lnTo>
                                            <a:pt x="10205" y="12790"/>
                                          </a:lnTo>
                                          <a:lnTo>
                                            <a:pt x="8508" y="14033"/>
                                          </a:lnTo>
                                          <a:lnTo>
                                            <a:pt x="9206" y="11941"/>
                                          </a:lnTo>
                                          <a:lnTo>
                                            <a:pt x="9426" y="11282"/>
                                          </a:lnTo>
                                          <a:lnTo>
                                            <a:pt x="8877" y="10856"/>
                                          </a:lnTo>
                                          <a:lnTo>
                                            <a:pt x="7511" y="9794"/>
                                          </a:lnTo>
                                          <a:lnTo>
                                            <a:pt x="9790" y="9794"/>
                                          </a:lnTo>
                                          <a:lnTo>
                                            <a:pt x="10030" y="9160"/>
                                          </a:lnTo>
                                          <a:lnTo>
                                            <a:pt x="10785" y="7162"/>
                                          </a:lnTo>
                                          <a:lnTo>
                                            <a:pt x="11540" y="9160"/>
                                          </a:lnTo>
                                          <a:lnTo>
                                            <a:pt x="11779" y="9794"/>
                                          </a:lnTo>
                                          <a:lnTo>
                                            <a:pt x="14059" y="9794"/>
                                          </a:lnTo>
                                          <a:lnTo>
                                            <a:pt x="12692" y="10856"/>
                                          </a:lnTo>
                                          <a:lnTo>
                                            <a:pt x="12144" y="11282"/>
                                          </a:lnTo>
                                          <a:cubicBezTo>
                                            <a:pt x="12144" y="11282"/>
                                            <a:pt x="12364" y="11941"/>
                                            <a:pt x="12364" y="11941"/>
                                          </a:cubicBezTo>
                                          <a:close/>
                                          <a:moveTo>
                                            <a:pt x="12458" y="8813"/>
                                          </a:moveTo>
                                          <a:lnTo>
                                            <a:pt x="10785" y="4384"/>
                                          </a:lnTo>
                                          <a:lnTo>
                                            <a:pt x="9111" y="8813"/>
                                          </a:lnTo>
                                          <a:lnTo>
                                            <a:pt x="4649" y="8813"/>
                                          </a:lnTo>
                                          <a:lnTo>
                                            <a:pt x="8275" y="11631"/>
                                          </a:lnTo>
                                          <a:lnTo>
                                            <a:pt x="6601" y="16647"/>
                                          </a:lnTo>
                                          <a:lnTo>
                                            <a:pt x="10785" y="13582"/>
                                          </a:lnTo>
                                          <a:lnTo>
                                            <a:pt x="14969" y="16647"/>
                                          </a:lnTo>
                                          <a:lnTo>
                                            <a:pt x="13295" y="11631"/>
                                          </a:lnTo>
                                          <a:lnTo>
                                            <a:pt x="16921" y="8813"/>
                                          </a:lnTo>
                                          <a:cubicBezTo>
                                            <a:pt x="16921" y="8813"/>
                                            <a:pt x="12458" y="8813"/>
                                            <a:pt x="12458" y="8813"/>
                                          </a:cubicBezTo>
                                          <a:close/>
                                          <a:moveTo>
                                            <a:pt x="10800" y="20592"/>
                                          </a:moveTo>
                                          <a:cubicBezTo>
                                            <a:pt x="9796" y="20381"/>
                                            <a:pt x="982" y="17399"/>
                                            <a:pt x="982" y="12263"/>
                                          </a:cubicBezTo>
                                          <a:cubicBezTo>
                                            <a:pt x="982" y="7469"/>
                                            <a:pt x="2322" y="2919"/>
                                            <a:pt x="2778" y="1179"/>
                                          </a:cubicBezTo>
                                          <a:cubicBezTo>
                                            <a:pt x="4022" y="1719"/>
                                            <a:pt x="7232" y="2943"/>
                                            <a:pt x="10800" y="2943"/>
                                          </a:cubicBezTo>
                                          <a:cubicBezTo>
                                            <a:pt x="14368" y="2943"/>
                                            <a:pt x="17579" y="1719"/>
                                            <a:pt x="18823" y="1179"/>
                                          </a:cubicBezTo>
                                          <a:cubicBezTo>
                                            <a:pt x="19278" y="2918"/>
                                            <a:pt x="20618" y="7466"/>
                                            <a:pt x="20618" y="12263"/>
                                          </a:cubicBezTo>
                                          <a:cubicBezTo>
                                            <a:pt x="20618" y="17393"/>
                                            <a:pt x="11803" y="20381"/>
                                            <a:pt x="10800" y="20592"/>
                                          </a:cubicBezTo>
                                          <a:moveTo>
                                            <a:pt x="19618" y="356"/>
                                          </a:moveTo>
                                          <a:cubicBezTo>
                                            <a:pt x="19577" y="216"/>
                                            <a:pt x="19477" y="101"/>
                                            <a:pt x="19343" y="42"/>
                                          </a:cubicBezTo>
                                          <a:cubicBezTo>
                                            <a:pt x="19210" y="-17"/>
                                            <a:pt x="19057" y="-13"/>
                                            <a:pt x="18926" y="52"/>
                                          </a:cubicBezTo>
                                          <a:cubicBezTo>
                                            <a:pt x="18888" y="71"/>
                                            <a:pt x="15053" y="1962"/>
                                            <a:pt x="10800" y="1962"/>
                                          </a:cubicBezTo>
                                          <a:cubicBezTo>
                                            <a:pt x="6556" y="1962"/>
                                            <a:pt x="2712" y="71"/>
                                            <a:pt x="2674" y="52"/>
                                          </a:cubicBezTo>
                                          <a:cubicBezTo>
                                            <a:pt x="2543" y="-13"/>
                                            <a:pt x="2391" y="-17"/>
                                            <a:pt x="2257" y="42"/>
                                          </a:cubicBezTo>
                                          <a:cubicBezTo>
                                            <a:pt x="2124" y="101"/>
                                            <a:pt x="2023" y="216"/>
                                            <a:pt x="1983" y="356"/>
                                          </a:cubicBezTo>
                                          <a:cubicBezTo>
                                            <a:pt x="1963" y="426"/>
                                            <a:pt x="0" y="6376"/>
                                            <a:pt x="0" y="12263"/>
                                          </a:cubicBezTo>
                                          <a:cubicBezTo>
                                            <a:pt x="0" y="18484"/>
                                            <a:pt x="10271" y="21491"/>
                                            <a:pt x="10708" y="21575"/>
                                          </a:cubicBezTo>
                                          <a:cubicBezTo>
                                            <a:pt x="10739" y="21580"/>
                                            <a:pt x="10770" y="21583"/>
                                            <a:pt x="10800" y="21583"/>
                                          </a:cubicBezTo>
                                          <a:cubicBezTo>
                                            <a:pt x="10831" y="21583"/>
                                            <a:pt x="10862" y="21580"/>
                                            <a:pt x="10892" y="21575"/>
                                          </a:cubicBezTo>
                                          <a:cubicBezTo>
                                            <a:pt x="11329" y="21491"/>
                                            <a:pt x="21600" y="18484"/>
                                            <a:pt x="21600" y="12263"/>
                                          </a:cubicBezTo>
                                          <a:cubicBezTo>
                                            <a:pt x="21600" y="6376"/>
                                            <a:pt x="19637" y="426"/>
                                            <a:pt x="19618" y="356"/>
                                          </a:cubicBezTo>
                                        </a:path>
                                      </a:pathLst>
                                    </a:custGeom>
                                    <a:solidFill>
                                      <a:srgbClr val="293039"/>
                                    </a:solidFill>
                                    <a:ln w="12700">
                                      <a:miter lim="400000"/>
                                    </a:ln>
                                  </wps:spPr>
                                  <wps:txbx>
                                    <w:txbxContent>
                                      <w:p w14:paraId="1D1A15E5" w14:textId="77777777" w:rsidR="00B90481" w:rsidRDefault="00B90481">
                                        <w:pPr>
                                          <w:jc w:val="center"/>
                                        </w:pPr>
                                      </w:p>
                                    </w:txbxContent>
                                  </wps:txbx>
                                  <wps:bodyPr lIns="38090" tIns="38090" rIns="38090" bIns="38090" anchor="ctr"/>
                                </wps:wsp>
                              </a:graphicData>
                            </a:graphic>
                          </wp:anchor>
                        </w:drawing>
                      </mc:Choice>
                      <mc:Fallback>
                        <w:pict>
                          <v:shape w14:anchorId="4E3CAFD3" id="Shape 2619" o:spid="_x0000_s1029" style="position:absolute;left:0;text-align:left;margin-left:2.8pt;margin-top:6.45pt;width:33.7pt;height:31.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5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uUAUAADcSAAAOAAAAZHJzL2Uyb0RvYy54bWysWNuO2zYQfS/QfxD0vmteJFI01hugDVIU&#10;KJoAST5AluW1UN0gadfefn2HHFISbceXoH6wRHE4HJ45M6PR04dDVQZvedcXTb0K6SMJg7zOmk1R&#10;v6zC798+PSRh0A9pvUnLps5X4Xvehx+ef/3lad8uc9bsmnKTdwEoqfvlvl2Fu2Fol4tFn+3yKu0f&#10;mzavYXLbdFU6wLB7WWy6dA/aq3LBCBGLfdNt2q7J8r6Hpx9xMnw2+rfbPBs+b7d9PgTlKgTbBvPf&#10;mf+1/l88P6XLly5td0VmzUh/wooqLWrYdFT1MR3S4LUrTlRVRdY1fbMdHrOmWjTbbZHl5gxwGkqO&#10;TvN1l7a5OQuA07cjTP3/pzb7++1LFxQb8F0Y1GkFLjK7BkxQpdHZt/0ShL62Xzo76uFWH/Ww7Sp9&#10;hUMEB4Po+4hofhiCDB5GLKFMhUEGU1yJiAqtczEtzl774Y+8MYrSt7/6AR2ycXfpzt1lhxpu9YZw&#10;F6SaX8RA3ja93n+/YWEA2+zginuAnCceR0T/7ltESfIzqwSQ87a9AIzpaB0Q9piqXRgAVdf6UOmy&#10;TQeNiLsN9quQUQGHCnb6Lk44BOBh6F51QH7+x2FUNW/5t8asGjRYlHERGbgoVRG1gE1SZe1JcyIQ&#10;XBoRzq20k3HXFjVTLmLUzKQyAQYndDLuamWJTJysXoVuczLu6mQZcbLX9CYxgbQDXLhurmJEnODg&#10;dnZXtEBFzImyxHHMibgriiaJlKiVJLGjvBNxVxSVMYXIA1uVVNFFBEAA3HyLJCWEW1HgxkWldHSB&#10;pODjix6gEEBowFWtVEqI+ptsjUh8qygTytLwKqyU0cgR/NRb2eu6yH7L//VIfroCwu1H0XJhSge0&#10;pz8rmz430TsFmFMcxcjUJKEuriYhnymTqyKeXKEKtaSaqXXK3BUtiESE6F+VTJi08UcFdxnDKXNX&#10;VCoEQU5TISJ5mVQj/yiPr0QVjZRAY2/Qy5m61VwKtEJ7z4Dgu9K67WTBRIdjh/545h6e6CJk4gmS&#10;IMQAhulElHNGQrrAdMUIT4y/nCkKcDbZUXJlavzJBGPCsdFX7Y8QDadORuAdQ3N8zjjDfZjCVwm3&#10;DZPSpmcKWQLP4iv2R6guIlYdlb46CRshNioyVrt9TOn2Zk4h9wLVejfiAu1jxwplbNPasQ00SRhU&#10;Xl1y7jkTVcxCARglHnhEwAOtEGA1FcSdCgqWnaF3uWm2DvzuA0UTgtafcGWG4Yx5vn8mHloAlbOQ&#10;j8VvkvHXuhWxLZjwMjOHAV5OxkrqcZgqDs7W+EQuHHzF/shtwyiG0QM1aclhShWJsWA/YBoeJxJl&#10;i358xzYJ/NB3vs0xiS1JFNbacZsxvqmduYmpIgZ8DemO9DFJMSSkZwATEmviHYdhscX5CBnGFebM&#10;IygZs0je4RdGma3VUDfmGYTYoDphhX7NBd9P/PLd7Y+c8yGnIWE8iiEhBJdnnt4XYaiJJhFW58m5&#10;4A6zM7xhAGizA0JJt2+q8OoO5fXWXAjrOFZC/cpvu1h7TCKlLRWmG/B2G6uIm7qJZpADoOBr6LDB&#10;8FXazuCMIRA7btU9Z6NQus/DZTsdMOQE5NnUfVkRmydQecwAiESOOUG/98/PfCa9zQkHmOouzbS5&#10;Y7tmgJ5a3b4pi82noix1S9Z3L+vfyy54S+EjBVOcgG+RCZ5YWetujzJpW9iqGODTSVlUkAOx2cRF&#10;JXS9C922Y6Ou74bD+mCafJPE9JN1s3mHxr/8s4aPCTwhurUY5oNuPljPB2md7Rr4hJINnTFTq4Ov&#10;E+a89kuK/vwxHxuDpu89z/8BAAD//wMAUEsDBBQABgAIAAAAIQCLKv8m3gAAAAYBAAAPAAAAZHJz&#10;L2Rvd25yZXYueG1sTI/NTsMwEITvSLyDtUhcEHVoaQshToX4OVUItfWhx228JBGxHcVOmrw9ywlO&#10;q90ZzXybbUbbiIG6UHun4G6WgCBXeFO7UoE+vN8+gAgRncHGO1IwUYBNfnmRYWr82e1o2MdScIgL&#10;KSqoYmxTKUNRkcUw8y051r58ZzHy2pXSdHjmcNvIeZKspMXacUOFLb1UVHzve8slx4/7m2Gr9dS/&#10;4afWu9fSTAelrq/G5ycQkcb4Z4ZffEaHnJlOvncmiEbBcsVGPs8fQbC8XvBnJ57LBcg8k//x8x8A&#10;AAD//wMAUEsBAi0AFAAGAAgAAAAhALaDOJL+AAAA4QEAABMAAAAAAAAAAAAAAAAAAAAAAFtDb250&#10;ZW50X1R5cGVzXS54bWxQSwECLQAUAAYACAAAACEAOP0h/9YAAACUAQAACwAAAAAAAAAAAAAAAAAv&#10;AQAAX3JlbHMvLnJlbHNQSwECLQAUAAYACAAAACEAZz0/7lAFAAA3EgAADgAAAAAAAAAAAAAAAAAu&#10;AgAAZHJzL2Uyb0RvYy54bWxQSwECLQAUAAYACAAAACEAiyr/Jt4AAAAGAQAADwAAAAAAAAAAAAAA&#10;AACqBwAAZHJzL2Rvd25yZXYueG1sUEsFBgAAAAAEAAQA8wAAALUIAAAAAA==&#10;" adj="-11796480,,5400" path="m12364,11941r698,2092l11365,12790r-580,-425l10205,12790,8508,14033r698,-2092l9426,11282r-549,-426l7511,9794r2279,l10030,9160r755,-1998l11540,9160r239,634l14059,9794r-1367,1062l12144,11282v,,220,659,220,659xm12458,8813l10785,4384,9111,8813r-4462,l8275,11631,6601,16647r4184,-3065l14969,16647,13295,11631,16921,8813v,,-4463,,-4463,xm10800,20592c9796,20381,982,17399,982,12263,982,7469,2322,2919,2778,1179v1244,540,4454,1764,8022,1764c14368,2943,17579,1719,18823,1179v455,1739,1795,6287,1795,11084c20618,17393,11803,20381,10800,20592m19618,356c19577,216,19477,101,19343,42v-133,-59,-286,-55,-417,10c18888,71,15053,1962,10800,1962,6556,1962,2712,71,2674,52,2543,-13,2391,-17,2257,42v-133,59,-234,174,-274,314c1963,426,,6376,,12263v,6221,10271,9228,10708,9312c10739,21580,10770,21583,10800,21583v31,,62,-3,92,-8c11329,21491,21600,18484,21600,12263,21600,6376,19637,426,19618,356e" fillcolor="#293039" stroked="f" strokeweight="1pt">
                            <v:stroke miterlimit="4" joinstyle="miter"/>
                            <v:formulas/>
                            <v:path arrowok="t" o:extrusionok="f" o:connecttype="custom" o:connectlocs="214065,198208;214065,198208;214065,198208;214065,198208" o:connectangles="0,90,180,270" textboxrect="0,0,21600,21583"/>
                            <v:textbox inset="1.0581mm,1.0581mm,1.0581mm,1.0581mm">
                              <w:txbxContent>
                                <w:p w14:paraId="1D1A15E5" w14:textId="77777777" w:rsidR="00B90481" w:rsidRDefault="00B90481">
                                  <w:pPr>
                                    <w:jc w:val="center"/>
                                  </w:pPr>
                                </w:p>
                              </w:txbxContent>
                            </v:textbox>
                          </v:shape>
                        </w:pict>
                      </mc:Fallback>
                    </mc:AlternateContent>
                  </w:r>
                </w:p>
              </w:tc>
              <w:tc>
                <w:tcPr>
                  <w:tcW w:w="1990" w:type="dxa"/>
                  <w:tcBorders>
                    <w:bottom w:val="single" w:sz="4" w:space="0" w:color="auto"/>
                    <w:right w:val="nil"/>
                  </w:tcBorders>
                  <w:shd w:val="clear" w:color="auto" w:fill="auto"/>
                  <w:vAlign w:val="center"/>
                </w:tcPr>
                <w:p w14:paraId="0CC6ADC3" w14:textId="77777777" w:rsidR="008F265F" w:rsidRDefault="00A542E4">
                  <w:pPr>
                    <w:spacing w:line="280" w:lineRule="exact"/>
                    <w:rPr>
                      <w:rFonts w:ascii="宋体" w:eastAsia="仿宋_GB2312" w:hAnsi="宋体"/>
                      <w:b/>
                    </w:rPr>
                  </w:pPr>
                  <w:r>
                    <w:rPr>
                      <w:rFonts w:ascii="宋体" w:eastAsia="仿宋_GB2312" w:hAnsi="宋体"/>
                      <w:b/>
                    </w:rPr>
                    <w:t>第一章</w:t>
                  </w:r>
                </w:p>
                <w:p w14:paraId="3D04D4D4" w14:textId="77777777" w:rsidR="008F265F" w:rsidRDefault="00A542E4">
                  <w:pPr>
                    <w:spacing w:line="280" w:lineRule="exact"/>
                    <w:rPr>
                      <w:rFonts w:ascii="宋体" w:eastAsia="仿宋_GB2312" w:hAnsi="宋体"/>
                      <w:b/>
                    </w:rPr>
                  </w:pPr>
                  <w:r>
                    <w:rPr>
                      <w:rFonts w:ascii="宋体" w:eastAsia="仿宋_GB2312" w:hAnsi="宋体"/>
                      <w:b/>
                    </w:rPr>
                    <w:t>我们保什么</w:t>
                  </w:r>
                  <w:r>
                    <w:rPr>
                      <w:rFonts w:ascii="宋体" w:eastAsia="仿宋_GB2312" w:hAnsi="宋体" w:hint="eastAsia"/>
                      <w:b/>
                    </w:rPr>
                    <w:t>、</w:t>
                  </w:r>
                </w:p>
                <w:p w14:paraId="7D658B53" w14:textId="77777777" w:rsidR="008F265F" w:rsidRDefault="00A542E4">
                  <w:pPr>
                    <w:spacing w:line="280" w:lineRule="exact"/>
                    <w:rPr>
                      <w:rFonts w:ascii="宋体" w:eastAsia="仿宋_GB2312" w:hAnsi="宋体"/>
                      <w:b/>
                    </w:rPr>
                  </w:pPr>
                  <w:r>
                    <w:rPr>
                      <w:rFonts w:ascii="宋体" w:eastAsia="仿宋_GB2312" w:hAnsi="宋体"/>
                      <w:b/>
                    </w:rPr>
                    <w:t>保多久</w:t>
                  </w:r>
                </w:p>
              </w:tc>
              <w:tc>
                <w:tcPr>
                  <w:tcW w:w="6657" w:type="dxa"/>
                  <w:tcBorders>
                    <w:left w:val="nil"/>
                    <w:bottom w:val="single" w:sz="4" w:space="0" w:color="auto"/>
                  </w:tcBorders>
                  <w:shd w:val="clear" w:color="auto" w:fill="auto"/>
                </w:tcPr>
                <w:p w14:paraId="3B9EE5D7" w14:textId="77777777" w:rsidR="008F265F" w:rsidRDefault="00A542E4">
                  <w:pPr>
                    <w:spacing w:line="280" w:lineRule="exact"/>
                    <w:rPr>
                      <w:rFonts w:ascii="宋体" w:eastAsia="仿宋_GB2312" w:hAnsi="宋体"/>
                    </w:rPr>
                  </w:pPr>
                  <w:r>
                    <w:rPr>
                      <w:rFonts w:ascii="宋体" w:eastAsia="仿宋_GB2312" w:hAnsi="宋体" w:hint="eastAsia"/>
                    </w:rPr>
                    <w:t>第一条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基本</w:t>
                  </w:r>
                  <w:r>
                    <w:rPr>
                      <w:rFonts w:ascii="宋体" w:eastAsia="仿宋_GB2312" w:hAnsi="宋体"/>
                    </w:rPr>
                    <w:t>保险金额</w:t>
                  </w:r>
                </w:p>
                <w:p w14:paraId="59E43827" w14:textId="77777777" w:rsidR="008F265F" w:rsidRDefault="00A542E4">
                  <w:pPr>
                    <w:spacing w:line="280" w:lineRule="exact"/>
                    <w:rPr>
                      <w:rFonts w:ascii="宋体" w:eastAsia="仿宋_GB2312" w:hAnsi="宋体"/>
                    </w:rPr>
                  </w:pPr>
                  <w:r>
                    <w:rPr>
                      <w:rFonts w:ascii="宋体" w:eastAsia="仿宋_GB2312" w:hAnsi="宋体" w:hint="eastAsia"/>
                    </w:rPr>
                    <w:t>第二条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保险责任</w:t>
                  </w:r>
                </w:p>
                <w:p w14:paraId="234B2236" w14:textId="77777777" w:rsidR="008F265F" w:rsidRDefault="00A542E4">
                  <w:pPr>
                    <w:spacing w:line="280" w:lineRule="exact"/>
                    <w:rPr>
                      <w:rFonts w:ascii="宋体" w:eastAsia="仿宋_GB2312" w:hAnsi="宋体"/>
                    </w:rPr>
                  </w:pPr>
                  <w:r>
                    <w:rPr>
                      <w:rFonts w:ascii="宋体" w:eastAsia="仿宋_GB2312" w:hAnsi="宋体"/>
                    </w:rPr>
                    <w:t>第三条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投保范围</w:t>
                  </w:r>
                </w:p>
                <w:p w14:paraId="146C36A1" w14:textId="77777777" w:rsidR="008F265F" w:rsidRDefault="00A542E4">
                  <w:pPr>
                    <w:spacing w:line="280" w:lineRule="exact"/>
                    <w:rPr>
                      <w:rFonts w:ascii="宋体" w:eastAsia="仿宋_GB2312" w:hAnsi="宋体"/>
                    </w:rPr>
                  </w:pPr>
                  <w:r>
                    <w:rPr>
                      <w:rFonts w:ascii="宋体" w:eastAsia="仿宋_GB2312" w:hAnsi="宋体"/>
                    </w:rPr>
                    <w:t>第四条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保险期间</w:t>
                  </w:r>
                </w:p>
              </w:tc>
            </w:tr>
            <w:tr w:rsidR="008F265F" w14:paraId="2C811468" w14:textId="77777777">
              <w:trPr>
                <w:trHeight w:hRule="exact" w:val="340"/>
              </w:trPr>
              <w:tc>
                <w:tcPr>
                  <w:tcW w:w="1006" w:type="dxa"/>
                  <w:tcBorders>
                    <w:top w:val="nil"/>
                    <w:left w:val="nil"/>
                    <w:bottom w:val="nil"/>
                    <w:right w:val="nil"/>
                  </w:tcBorders>
                  <w:vAlign w:val="center"/>
                </w:tcPr>
                <w:p w14:paraId="27652F22" w14:textId="77777777" w:rsidR="008F265F" w:rsidRDefault="008F265F">
                  <w:pPr>
                    <w:spacing w:line="280" w:lineRule="exact"/>
                    <w:rPr>
                      <w:rFonts w:ascii="宋体" w:eastAsia="仿宋_GB2312" w:hAnsi="宋体"/>
                      <w:b/>
                    </w:rPr>
                  </w:pPr>
                </w:p>
              </w:tc>
              <w:tc>
                <w:tcPr>
                  <w:tcW w:w="1990" w:type="dxa"/>
                  <w:tcBorders>
                    <w:left w:val="nil"/>
                    <w:right w:val="nil"/>
                  </w:tcBorders>
                  <w:vAlign w:val="center"/>
                </w:tcPr>
                <w:p w14:paraId="6FCE0483" w14:textId="77777777" w:rsidR="008F265F" w:rsidRDefault="008F265F">
                  <w:pPr>
                    <w:spacing w:line="280" w:lineRule="exact"/>
                    <w:rPr>
                      <w:rFonts w:ascii="宋体" w:eastAsia="仿宋_GB2312" w:hAnsi="宋体"/>
                      <w:b/>
                    </w:rPr>
                  </w:pPr>
                </w:p>
              </w:tc>
              <w:tc>
                <w:tcPr>
                  <w:tcW w:w="6657" w:type="dxa"/>
                  <w:tcBorders>
                    <w:left w:val="nil"/>
                    <w:right w:val="nil"/>
                  </w:tcBorders>
                  <w:vAlign w:val="center"/>
                </w:tcPr>
                <w:p w14:paraId="4D901BA3" w14:textId="77777777" w:rsidR="008F265F" w:rsidRDefault="008F265F">
                  <w:pPr>
                    <w:spacing w:line="280" w:lineRule="exact"/>
                    <w:rPr>
                      <w:rFonts w:ascii="宋体" w:eastAsia="仿宋_GB2312" w:hAnsi="宋体"/>
                    </w:rPr>
                  </w:pPr>
                </w:p>
              </w:tc>
            </w:tr>
            <w:tr w:rsidR="008F265F" w14:paraId="73235C7D" w14:textId="77777777">
              <w:trPr>
                <w:trHeight w:val="340"/>
              </w:trPr>
              <w:tc>
                <w:tcPr>
                  <w:tcW w:w="1006" w:type="dxa"/>
                  <w:tcBorders>
                    <w:top w:val="nil"/>
                    <w:left w:val="nil"/>
                    <w:bottom w:val="nil"/>
                  </w:tcBorders>
                </w:tcPr>
                <w:p w14:paraId="6EF8AB9A" w14:textId="77777777" w:rsidR="008F265F" w:rsidRDefault="00A542E4">
                  <w:pPr>
                    <w:spacing w:line="280" w:lineRule="exact"/>
                    <w:rPr>
                      <w:rFonts w:ascii="宋体" w:eastAsia="仿宋_GB2312" w:hAnsi="宋体"/>
                      <w:b/>
                    </w:rPr>
                  </w:pPr>
                  <w:r>
                    <w:rPr>
                      <w:rFonts w:ascii="宋体" w:eastAsia="仿宋_GB2312" w:hAnsi="宋体"/>
                      <w:noProof/>
                    </w:rPr>
                    <mc:AlternateContent>
                      <mc:Choice Requires="wpg">
                        <w:drawing>
                          <wp:anchor distT="0" distB="0" distL="114300" distR="114300" simplePos="0" relativeHeight="251667456" behindDoc="0" locked="0" layoutInCell="1" allowOverlap="1" wp14:anchorId="5F82775C" wp14:editId="2B29E0F6">
                            <wp:simplePos x="0" y="0"/>
                            <wp:positionH relativeFrom="column">
                              <wp:posOffset>73660</wp:posOffset>
                            </wp:positionH>
                            <wp:positionV relativeFrom="paragraph">
                              <wp:posOffset>-14605</wp:posOffset>
                            </wp:positionV>
                            <wp:extent cx="390525" cy="380365"/>
                            <wp:effectExtent l="0" t="0" r="28575" b="19685"/>
                            <wp:wrapNone/>
                            <wp:docPr id="132" name="组合 132"/>
                            <wp:cNvGraphicFramePr/>
                            <a:graphic xmlns:a="http://schemas.openxmlformats.org/drawingml/2006/main">
                              <a:graphicData uri="http://schemas.microsoft.com/office/word/2010/wordprocessingGroup">
                                <wpg:wgp>
                                  <wpg:cNvGrpSpPr/>
                                  <wpg:grpSpPr>
                                    <a:xfrm>
                                      <a:off x="0" y="0"/>
                                      <a:ext cx="390525" cy="380365"/>
                                      <a:chOff x="0" y="0"/>
                                      <a:chExt cx="549275" cy="550863"/>
                                    </a:xfrm>
                                  </wpg:grpSpPr>
                                  <wps:wsp>
                                    <wps:cNvPr id="129" name="Line 212"/>
                                    <wps:cNvCnPr/>
                                    <wps:spPr bwMode="auto">
                                      <a:xfrm>
                                        <a:off x="274849" y="126854"/>
                                        <a:ext cx="0" cy="182563"/>
                                      </a:xfrm>
                                      <a:prstGeom prst="line">
                                        <a:avLst/>
                                      </a:prstGeom>
                                      <a:noFill/>
                                      <a:ln w="22225" cap="rnd">
                                        <a:solidFill>
                                          <a:srgbClr val="000000"/>
                                        </a:solidFill>
                                        <a:prstDash val="solid"/>
                                        <a:round/>
                                      </a:ln>
                                    </wps:spPr>
                                    <wps:bodyPr/>
                                  </wps:wsp>
                                  <wps:wsp>
                                    <wps:cNvPr id="130" name="Oval 213"/>
                                    <wps:cNvSpPr>
                                      <a:spLocks noChangeArrowheads="1"/>
                                    </wps:cNvSpPr>
                                    <wps:spPr bwMode="auto">
                                      <a:xfrm>
                                        <a:off x="253707" y="375274"/>
                                        <a:ext cx="38100" cy="36513"/>
                                      </a:xfrm>
                                      <a:prstGeom prst="ellipse">
                                        <a:avLst/>
                                      </a:prstGeom>
                                      <a:solidFill>
                                        <a:srgbClr val="000000"/>
                                      </a:solidFill>
                                      <a:ln>
                                        <a:noFill/>
                                      </a:ln>
                                    </wps:spPr>
                                    <wps:bodyPr vert="horz" wrap="square" lIns="91440" tIns="45720" rIns="91440" bIns="45720" numCol="1" anchor="t" anchorCtr="0" compatLnSpc="1"/>
                                  </wps:wsp>
                                  <wps:wsp>
                                    <wps:cNvPr id="131" name="Oval 214"/>
                                    <wps:cNvSpPr>
                                      <a:spLocks noChangeArrowheads="1"/>
                                    </wps:cNvSpPr>
                                    <wps:spPr bwMode="auto">
                                      <a:xfrm>
                                        <a:off x="0" y="0"/>
                                        <a:ext cx="549275" cy="550863"/>
                                      </a:xfrm>
                                      <a:prstGeom prst="ellipse">
                                        <a:avLst/>
                                      </a:prstGeom>
                                      <a:noFill/>
                                      <a:ln w="22225" cap="rnd">
                                        <a:solidFill>
                                          <a:srgbClr val="000000"/>
                                        </a:solidFill>
                                        <a:prstDash val="solid"/>
                                        <a:round/>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BF242A1" id="组合 132" o:spid="_x0000_s1026" style="position:absolute;left:0;text-align:left;margin-left:5.8pt;margin-top:-1.15pt;width:30.75pt;height:29.95pt;z-index:251667456" coordsize="549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H5QIAAAsJAAAOAAAAZHJzL2Uyb0RvYy54bWzMVttu3CAQfa/Uf0C8N76t92LFG1WbNqq0&#10;bSKl/QAW44uKgQK73vTrO2DvZi9qU6VKFT9gA8Mwc85h8OXVtuVow7RppMhxdBFixASVRSOqHH/7&#10;+vHdFCNjiSgIl4Ll+IEZfDV/++ayUxmLZS15wTQCJ8Jkncpxba3KgsDQmrXEXEjFBEyWUrfEQldX&#10;QaFJB95bHsRhOA46qQulJWXGwOh1P4nn3n9ZMmpvy9Iwi3iOITbrW+3blWuD+SXJKk1U3dAhDPKM&#10;KFrSCNh07+qaWILWujlz1TZUSyNLe0FlG8iybCjzOUA2UXiSzY2Wa+VzqbKuUnuYANoTnJ7tln7Z&#10;3Gh1r+40INGpCrDwPZfLttSte0OUaOshe9hDxrYWURhMZmEapxhRmEqmYTJOe0hpDbifraL1h2Fd&#10;OprFk2FdmobTceLWBbtNg6NQOgXiMI/5m3/L/74minlYTQb532nUFKDdeIaRIC2IdNkIhuIodiG5&#10;vcFoIQaETGYALLTqPssCTMnaSk/8CVjxZDQdgUOAJYrH03TUw7KDDaToEIumcXqSOcmUNvaGyRa5&#10;jxxzCMbvQDZLY3uQdiaOHSE/NpzDOMm4QF2OY3gcsgSOkxaFX2skbwpn58yMrlYLrtGGuEPhnwH8&#10;IzO3yTUxdW/np/okQJWi6APhAkhzEDlQerBWsnjwWPlxoK0ffnn+EgC15+8WMgP+vKQG/pzCfe5q&#10;Kel3g4Rc1ERU7L3WsqsZKUBTkUfhaMEutaf5TpNJOPF8J5MU2D/mO5lG4cA5HJE+sr3YzyhnnDfK&#10;/JH1I6b+klBH1oFeYP/f0udKOmivlvonRh2UxxybH2uiGUb8kwCsZtFo5Oqp74zSSQwdfTizOpwR&#10;63YhQWwRRkRQ8Jpju/tc2L4cQz1UxC7FvaKHVPxPAUF4RwLyJB7pAQ7PCwkI8Duvrk9UyecI53WW&#10;i1emN3/9wI3rb6Th78Bd6Yd9X/ge/2HmvwAAAP//AwBQSwMEFAAGAAgAAAAhAJ6L2w/dAAAABwEA&#10;AA8AAABkcnMvZG93bnJldi54bWxMjsFqwkAURfeF/sPwCt3pJAZjiZmISNuVFKqF4u6ZeSbBzEzI&#10;jEn8+76u2uXlXs49+WYyrRio942zCuJ5BIJs6XRjKwVfx7fZCwgf0GpsnSUFd/KwKR4fcsy0G+0n&#10;DYdQCYZYn6GCOoQuk9KXNRn0c9eR5e7ieoOBY19J3ePIcNPKRRSl0mBj+aHGjnY1ldfDzSh4H3Hc&#10;JvHrsL9edvfTcfnxvY9JqeenabsGEWgKf2P41Wd1KNjp7G5We9FyjlNeKpgtEhDcr5IYxFnBcpWC&#10;LHL537/4AQAA//8DAFBLAQItABQABgAIAAAAIQC2gziS/gAAAOEBAAATAAAAAAAAAAAAAAAAAAAA&#10;AABbQ29udGVudF9UeXBlc10ueG1sUEsBAi0AFAAGAAgAAAAhADj9If/WAAAAlAEAAAsAAAAAAAAA&#10;AAAAAAAALwEAAF9yZWxzLy5yZWxzUEsBAi0AFAAGAAgAAAAhAGcX8cflAgAACwkAAA4AAAAAAAAA&#10;AAAAAAAALgIAAGRycy9lMm9Eb2MueG1sUEsBAi0AFAAGAAgAAAAhAJ6L2w/dAAAABwEAAA8AAAAA&#10;AAAAAAAAAAAAPwUAAGRycy9kb3ducmV2LnhtbFBLBQYAAAAABAAEAPMAAABJBgAAAAA=&#10;">
                            <v:line id="Line 212" o:spid="_x0000_s1027" style="position:absolute;visibility:visible;mso-wrap-style:square" from="2748,1268" to="2748,3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t3xwwAAANwAAAAPAAAAZHJzL2Rvd25yZXYueG1sRE9Na8JA&#10;EL0L/Q/LFLxI3TSg1NRNkEBF8KK2pdchO01Cs7Pp7qrx37uC4G0e73OWxWA6cSLnW8sKXqcJCOLK&#10;6pZrBV+fHy9vIHxA1thZJgUX8lDkT6MlZtqeeU+nQ6hFDGGfoYImhD6T0lcNGfRT2xNH7tc6gyFC&#10;V0vt8BzDTSfTJJlLgy3HhgZ7Khuq/g5Ho6B0R6b1NpWLfvc9+V/9XGZmXyo1fh5W7yACDeEhvrs3&#10;Os5PF3B7Jl4g8ysAAAD//wMAUEsBAi0AFAAGAAgAAAAhANvh9svuAAAAhQEAABMAAAAAAAAAAAAA&#10;AAAAAAAAAFtDb250ZW50X1R5cGVzXS54bWxQSwECLQAUAAYACAAAACEAWvQsW78AAAAVAQAACwAA&#10;AAAAAAAAAAAAAAAfAQAAX3JlbHMvLnJlbHNQSwECLQAUAAYACAAAACEAls7d8cMAAADcAAAADwAA&#10;AAAAAAAAAAAAAAAHAgAAZHJzL2Rvd25yZXYueG1sUEsFBgAAAAADAAMAtwAAAPcCAAAAAA==&#10;" strokeweight="1.75pt">
                              <v:stroke endcap="round"/>
                            </v:line>
                            <v:oval id="Oval 213" o:spid="_x0000_s1028" style="position:absolute;left:2537;top:3752;width:38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y4xwAAANwAAAAPAAAAZHJzL2Rvd25yZXYueG1sRI9PawJB&#10;DMXvBb/DEMFbna1/Srt1FBFF6UGoLRRvYSfdXd3JLDOjrt++ORR6S3gv7/0yW3SuUVcKsfZs4GmY&#10;gSIuvK25NPD1uXl8ARUTssXGMxm4U4TFvPcww9z6G3/Q9ZBKJSEcczRQpdTmWseiIodx6Fti0X58&#10;cJhkDaW2AW8S7ho9yrJn7bBmaaiwpVVFxflwcQbCerpN+rxZT0770/erfz/ao50aM+h3yzdQibr0&#10;b/673lnBHwu+PCMT6PkvAAAA//8DAFBLAQItABQABgAIAAAAIQDb4fbL7gAAAIUBAAATAAAAAAAA&#10;AAAAAAAAAAAAAABbQ29udGVudF9UeXBlc10ueG1sUEsBAi0AFAAGAAgAAAAhAFr0LFu/AAAAFQEA&#10;AAsAAAAAAAAAAAAAAAAAHwEAAF9yZWxzLy5yZWxzUEsBAi0AFAAGAAgAAAAhAFIfnLjHAAAA3AAA&#10;AA8AAAAAAAAAAAAAAAAABwIAAGRycy9kb3ducmV2LnhtbFBLBQYAAAAAAwADALcAAAD7AgAAAAA=&#10;" fillcolor="black" stroked="f"/>
                            <v:oval id="Oval 214" o:spid="_x0000_s1029" style="position:absolute;width:5492;height:5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T+wgAAANwAAAAPAAAAZHJzL2Rvd25yZXYueG1sRE9NawIx&#10;EL0X/A9hBG81q4K0q1FEWPBSrFoEb+Nm3CxuJkuS6tpfbwqF3ubxPme+7GwjbuRD7VjBaJiBIC6d&#10;rrlS8HUoXt9AhIissXFMCh4UYLnovcwx1+7OO7rtYyVSCIccFZgY21zKUBqyGIauJU7cxXmLMUFf&#10;Se3xnsJtI8dZNpUWa04NBltaGyqv+2+rwPniZ3Ms3Hr8edpdiq2MH2fzrtSg361mICJ18V/8597o&#10;NH8ygt9n0gVy8QQAAP//AwBQSwECLQAUAAYACAAAACEA2+H2y+4AAACFAQAAEwAAAAAAAAAAAAAA&#10;AAAAAAAAW0NvbnRlbnRfVHlwZXNdLnhtbFBLAQItABQABgAIAAAAIQBa9CxbvwAAABUBAAALAAAA&#10;AAAAAAAAAAAAAB8BAABfcmVscy8ucmVsc1BLAQItABQABgAIAAAAIQCcFpT+wgAAANwAAAAPAAAA&#10;AAAAAAAAAAAAAAcCAABkcnMvZG93bnJldi54bWxQSwUGAAAAAAMAAwC3AAAA9gIAAAAA&#10;" filled="f" strokeweight="1.75pt">
                              <v:stroke endcap="round"/>
                            </v:oval>
                          </v:group>
                        </w:pict>
                      </mc:Fallback>
                    </mc:AlternateContent>
                  </w:r>
                </w:p>
              </w:tc>
              <w:tc>
                <w:tcPr>
                  <w:tcW w:w="1990" w:type="dxa"/>
                  <w:tcBorders>
                    <w:bottom w:val="single" w:sz="4" w:space="0" w:color="auto"/>
                    <w:right w:val="nil"/>
                  </w:tcBorders>
                  <w:shd w:val="clear" w:color="auto" w:fill="auto"/>
                  <w:vAlign w:val="center"/>
                </w:tcPr>
                <w:p w14:paraId="54DC1A45" w14:textId="77777777" w:rsidR="008F265F" w:rsidRDefault="00A542E4">
                  <w:pPr>
                    <w:spacing w:line="280" w:lineRule="exact"/>
                    <w:rPr>
                      <w:rFonts w:ascii="宋体" w:eastAsia="仿宋_GB2312" w:hAnsi="宋体"/>
                      <w:b/>
                    </w:rPr>
                  </w:pPr>
                  <w:r>
                    <w:rPr>
                      <w:rFonts w:ascii="宋体" w:eastAsia="仿宋_GB2312" w:hAnsi="宋体"/>
                      <w:b/>
                    </w:rPr>
                    <w:t>第二章</w:t>
                  </w:r>
                </w:p>
                <w:p w14:paraId="1AE8B57D" w14:textId="77777777" w:rsidR="008F265F" w:rsidRDefault="00A542E4">
                  <w:pPr>
                    <w:spacing w:line="280" w:lineRule="exact"/>
                    <w:rPr>
                      <w:rFonts w:ascii="宋体" w:eastAsia="仿宋_GB2312" w:hAnsi="宋体"/>
                    </w:rPr>
                  </w:pPr>
                  <w:r>
                    <w:rPr>
                      <w:rFonts w:ascii="宋体" w:eastAsia="仿宋_GB2312" w:hAnsi="宋体" w:hint="eastAsia"/>
                      <w:b/>
                    </w:rPr>
                    <w:t>我们</w:t>
                  </w:r>
                  <w:r>
                    <w:rPr>
                      <w:rFonts w:ascii="宋体" w:eastAsia="仿宋_GB2312" w:hAnsi="宋体"/>
                      <w:b/>
                    </w:rPr>
                    <w:t>不保什么</w:t>
                  </w:r>
                </w:p>
              </w:tc>
              <w:tc>
                <w:tcPr>
                  <w:tcW w:w="6657" w:type="dxa"/>
                  <w:tcBorders>
                    <w:left w:val="nil"/>
                    <w:bottom w:val="single" w:sz="4" w:space="0" w:color="auto"/>
                  </w:tcBorders>
                  <w:shd w:val="clear" w:color="auto" w:fill="auto"/>
                </w:tcPr>
                <w:p w14:paraId="6C874FE1"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五</w:t>
                  </w:r>
                  <w:r>
                    <w:rPr>
                      <w:rFonts w:ascii="宋体" w:eastAsia="仿宋_GB2312" w:hAnsi="宋体"/>
                    </w:rPr>
                    <w:t>条</w:t>
                  </w:r>
                  <w:r>
                    <w:rPr>
                      <w:rFonts w:ascii="宋体" w:eastAsia="仿宋_GB2312" w:hAnsi="宋体"/>
                    </w:rPr>
                    <w:t xml:space="preserve">  </w:t>
                  </w:r>
                  <w:r>
                    <w:rPr>
                      <w:rFonts w:ascii="宋体" w:eastAsia="仿宋_GB2312" w:hAnsi="宋体" w:hint="eastAsia"/>
                    </w:rPr>
                    <w:t>责任免除</w:t>
                  </w:r>
                </w:p>
                <w:p w14:paraId="1E1051EB" w14:textId="77777777" w:rsidR="008F265F" w:rsidRDefault="00A542E4">
                  <w:pPr>
                    <w:spacing w:line="280" w:lineRule="exact"/>
                    <w:rPr>
                      <w:rFonts w:ascii="宋体" w:eastAsia="仿宋_GB2312" w:hAnsi="宋体"/>
                    </w:rPr>
                  </w:pPr>
                  <w:r>
                    <w:rPr>
                      <w:rFonts w:ascii="宋体" w:eastAsia="仿宋_GB2312" w:hAnsi="宋体" w:hint="eastAsia"/>
                    </w:rPr>
                    <w:t>第</w:t>
                  </w:r>
                  <w:r>
                    <w:rPr>
                      <w:rFonts w:ascii="宋体" w:eastAsia="仿宋_GB2312" w:hAnsi="宋体"/>
                    </w:rPr>
                    <w:t>六</w:t>
                  </w:r>
                  <w:r>
                    <w:rPr>
                      <w:rFonts w:ascii="宋体" w:eastAsia="仿宋_GB2312" w:hAnsi="宋体" w:hint="eastAsia"/>
                    </w:rPr>
                    <w:t>条</w:t>
                  </w:r>
                  <w:r>
                    <w:rPr>
                      <w:rFonts w:ascii="宋体" w:eastAsia="仿宋_GB2312" w:hAnsi="宋体" w:hint="eastAsia"/>
                    </w:rPr>
                    <w:t xml:space="preserve">  </w:t>
                  </w:r>
                  <w:r>
                    <w:rPr>
                      <w:rFonts w:ascii="宋体" w:eastAsia="仿宋_GB2312" w:hAnsi="宋体" w:hint="eastAsia"/>
                    </w:rPr>
                    <w:t>其他免责条款</w:t>
                  </w:r>
                </w:p>
              </w:tc>
            </w:tr>
            <w:tr w:rsidR="008F265F" w14:paraId="331B7EBD" w14:textId="77777777">
              <w:trPr>
                <w:trHeight w:hRule="exact" w:val="340"/>
              </w:trPr>
              <w:tc>
                <w:tcPr>
                  <w:tcW w:w="1006" w:type="dxa"/>
                  <w:tcBorders>
                    <w:top w:val="nil"/>
                    <w:left w:val="nil"/>
                    <w:bottom w:val="nil"/>
                    <w:right w:val="nil"/>
                  </w:tcBorders>
                  <w:vAlign w:val="center"/>
                </w:tcPr>
                <w:p w14:paraId="2EA0297D" w14:textId="77777777" w:rsidR="008F265F" w:rsidRDefault="008F265F">
                  <w:pPr>
                    <w:spacing w:line="280" w:lineRule="exact"/>
                    <w:rPr>
                      <w:rFonts w:ascii="宋体" w:eastAsia="仿宋_GB2312" w:hAnsi="宋体"/>
                      <w:b/>
                    </w:rPr>
                  </w:pPr>
                </w:p>
              </w:tc>
              <w:tc>
                <w:tcPr>
                  <w:tcW w:w="1990" w:type="dxa"/>
                  <w:tcBorders>
                    <w:left w:val="nil"/>
                    <w:right w:val="nil"/>
                  </w:tcBorders>
                  <w:vAlign w:val="center"/>
                </w:tcPr>
                <w:p w14:paraId="51646079" w14:textId="77777777" w:rsidR="008F265F" w:rsidRDefault="008F265F">
                  <w:pPr>
                    <w:spacing w:line="280" w:lineRule="exact"/>
                    <w:rPr>
                      <w:rFonts w:ascii="宋体" w:eastAsia="仿宋_GB2312" w:hAnsi="宋体"/>
                      <w:b/>
                    </w:rPr>
                  </w:pPr>
                </w:p>
              </w:tc>
              <w:tc>
                <w:tcPr>
                  <w:tcW w:w="6657" w:type="dxa"/>
                  <w:tcBorders>
                    <w:left w:val="nil"/>
                    <w:right w:val="nil"/>
                  </w:tcBorders>
                  <w:vAlign w:val="center"/>
                </w:tcPr>
                <w:p w14:paraId="12D5E76A" w14:textId="77777777" w:rsidR="008F265F" w:rsidRDefault="008F265F">
                  <w:pPr>
                    <w:spacing w:line="280" w:lineRule="exact"/>
                    <w:rPr>
                      <w:rFonts w:ascii="宋体" w:eastAsia="仿宋_GB2312" w:hAnsi="宋体"/>
                      <w:b/>
                    </w:rPr>
                  </w:pPr>
                </w:p>
              </w:tc>
            </w:tr>
            <w:tr w:rsidR="008F265F" w14:paraId="4B037727" w14:textId="77777777">
              <w:trPr>
                <w:trHeight w:val="340"/>
              </w:trPr>
              <w:tc>
                <w:tcPr>
                  <w:tcW w:w="1006" w:type="dxa"/>
                  <w:tcBorders>
                    <w:top w:val="nil"/>
                    <w:left w:val="nil"/>
                    <w:bottom w:val="nil"/>
                  </w:tcBorders>
                </w:tcPr>
                <w:p w14:paraId="40D9D919" w14:textId="77777777" w:rsidR="008F265F" w:rsidRDefault="00A542E4">
                  <w:pPr>
                    <w:spacing w:line="280" w:lineRule="exact"/>
                    <w:ind w:firstLineChars="150" w:firstLine="316"/>
                    <w:rPr>
                      <w:rFonts w:ascii="宋体" w:eastAsia="仿宋_GB2312" w:hAnsi="宋体"/>
                      <w:b/>
                    </w:rPr>
                  </w:pPr>
                  <w:r>
                    <w:rPr>
                      <w:rFonts w:ascii="宋体" w:eastAsia="仿宋_GB2312" w:hAnsi="宋体" w:hint="eastAsia"/>
                      <w:b/>
                      <w:noProof/>
                    </w:rPr>
                    <mc:AlternateContent>
                      <mc:Choice Requires="wpg">
                        <w:drawing>
                          <wp:anchor distT="0" distB="0" distL="114300" distR="114300" simplePos="0" relativeHeight="251665408" behindDoc="0" locked="0" layoutInCell="1" allowOverlap="1" wp14:anchorId="00A7FD5C" wp14:editId="47AF6A8B">
                            <wp:simplePos x="0" y="0"/>
                            <wp:positionH relativeFrom="column">
                              <wp:posOffset>46355</wp:posOffset>
                            </wp:positionH>
                            <wp:positionV relativeFrom="paragraph">
                              <wp:posOffset>104775</wp:posOffset>
                            </wp:positionV>
                            <wp:extent cx="356870" cy="353060"/>
                            <wp:effectExtent l="0" t="0" r="24765" b="28575"/>
                            <wp:wrapNone/>
                            <wp:docPr id="126" name="组合 126"/>
                            <wp:cNvGraphicFramePr/>
                            <a:graphic xmlns:a="http://schemas.openxmlformats.org/drawingml/2006/main">
                              <a:graphicData uri="http://schemas.microsoft.com/office/word/2010/wordprocessingGroup">
                                <wpg:wgp>
                                  <wpg:cNvGrpSpPr/>
                                  <wpg:grpSpPr>
                                    <a:xfrm>
                                      <a:off x="0" y="0"/>
                                      <a:ext cx="356581" cy="353050"/>
                                      <a:chOff x="0" y="0"/>
                                      <a:chExt cx="561528" cy="561975"/>
                                    </a:xfrm>
                                  </wpg:grpSpPr>
                                  <wps:wsp>
                                    <wps:cNvPr id="123" name="Line 52"/>
                                    <wps:cNvCnPr/>
                                    <wps:spPr bwMode="auto">
                                      <a:xfrm>
                                        <a:off x="0" y="278910"/>
                                        <a:ext cx="269875" cy="0"/>
                                      </a:xfrm>
                                      <a:prstGeom prst="line">
                                        <a:avLst/>
                                      </a:prstGeom>
                                      <a:noFill/>
                                      <a:ln w="22225" cap="rnd">
                                        <a:solidFill>
                                          <a:srgbClr val="000000"/>
                                        </a:solidFill>
                                        <a:prstDash val="solid"/>
                                        <a:round/>
                                      </a:ln>
                                    </wps:spPr>
                                    <wps:bodyPr/>
                                  </wps:wsp>
                                  <wps:wsp>
                                    <wps:cNvPr id="124" name="Freeform 53"/>
                                    <wps:cNvSpPr/>
                                    <wps:spPr bwMode="auto">
                                      <a:xfrm>
                                        <a:off x="190647" y="190647"/>
                                        <a:ext cx="90488" cy="174625"/>
                                      </a:xfrm>
                                      <a:custGeom>
                                        <a:avLst/>
                                        <a:gdLst>
                                          <a:gd name="T0" fmla="*/ 0 w 31"/>
                                          <a:gd name="T1" fmla="*/ 60 h 60"/>
                                          <a:gd name="T2" fmla="*/ 31 w 31"/>
                                          <a:gd name="T3" fmla="*/ 30 h 60"/>
                                          <a:gd name="T4" fmla="*/ 0 w 31"/>
                                          <a:gd name="T5" fmla="*/ 0 h 60"/>
                                        </a:gdLst>
                                        <a:ahLst/>
                                        <a:cxnLst>
                                          <a:cxn ang="0">
                                            <a:pos x="T0" y="T1"/>
                                          </a:cxn>
                                          <a:cxn ang="0">
                                            <a:pos x="T2" y="T3"/>
                                          </a:cxn>
                                          <a:cxn ang="0">
                                            <a:pos x="T4" y="T5"/>
                                          </a:cxn>
                                        </a:cxnLst>
                                        <a:rect l="0" t="0" r="r" b="b"/>
                                        <a:pathLst>
                                          <a:path w="31" h="60">
                                            <a:moveTo>
                                              <a:pt x="0" y="60"/>
                                            </a:moveTo>
                                            <a:cubicBezTo>
                                              <a:pt x="0" y="60"/>
                                              <a:pt x="31" y="30"/>
                                              <a:pt x="31" y="30"/>
                                            </a:cubicBezTo>
                                            <a:cubicBezTo>
                                              <a:pt x="0" y="0"/>
                                              <a:pt x="0" y="0"/>
                                              <a:pt x="0" y="0"/>
                                            </a:cubicBezTo>
                                          </a:path>
                                        </a:pathLst>
                                      </a:custGeom>
                                      <a:noFill/>
                                      <a:ln w="22225" cap="rnd">
                                        <a:solidFill>
                                          <a:srgbClr val="000000"/>
                                        </a:solidFill>
                                        <a:prstDash val="solid"/>
                                        <a:round/>
                                      </a:ln>
                                    </wps:spPr>
                                    <wps:bodyPr vert="horz" wrap="square" lIns="91440" tIns="45720" rIns="91440" bIns="45720" numCol="1" anchor="t" anchorCtr="0" compatLnSpc="1"/>
                                  </wps:wsp>
                                  <wps:wsp>
                                    <wps:cNvPr id="125" name="Freeform 54"/>
                                    <wps:cNvSpPr/>
                                    <wps:spPr bwMode="auto">
                                      <a:xfrm>
                                        <a:off x="105915" y="0"/>
                                        <a:ext cx="455613" cy="561975"/>
                                      </a:xfrm>
                                      <a:custGeom>
                                        <a:avLst/>
                                        <a:gdLst>
                                          <a:gd name="T0" fmla="*/ 0 w 156"/>
                                          <a:gd name="T1" fmla="*/ 66 h 192"/>
                                          <a:gd name="T2" fmla="*/ 0 w 156"/>
                                          <a:gd name="T3" fmla="*/ 26 h 192"/>
                                          <a:gd name="T4" fmla="*/ 28 w 156"/>
                                          <a:gd name="T5" fmla="*/ 0 h 192"/>
                                          <a:gd name="T6" fmla="*/ 128 w 156"/>
                                          <a:gd name="T7" fmla="*/ 0 h 192"/>
                                          <a:gd name="T8" fmla="*/ 156 w 156"/>
                                          <a:gd name="T9" fmla="*/ 26 h 192"/>
                                          <a:gd name="T10" fmla="*/ 156 w 156"/>
                                          <a:gd name="T11" fmla="*/ 167 h 192"/>
                                          <a:gd name="T12" fmla="*/ 128 w 156"/>
                                          <a:gd name="T13" fmla="*/ 192 h 192"/>
                                          <a:gd name="T14" fmla="*/ 28 w 156"/>
                                          <a:gd name="T15" fmla="*/ 192 h 192"/>
                                          <a:gd name="T16" fmla="*/ 0 w 156"/>
                                          <a:gd name="T17" fmla="*/ 167 h 192"/>
                                          <a:gd name="T18" fmla="*/ 0 w 156"/>
                                          <a:gd name="T19" fmla="*/ 127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6" h="192">
                                            <a:moveTo>
                                              <a:pt x="0" y="66"/>
                                            </a:moveTo>
                                            <a:cubicBezTo>
                                              <a:pt x="0" y="26"/>
                                              <a:pt x="0" y="26"/>
                                              <a:pt x="0" y="26"/>
                                            </a:cubicBezTo>
                                            <a:cubicBezTo>
                                              <a:pt x="0" y="12"/>
                                              <a:pt x="13" y="0"/>
                                              <a:pt x="28" y="0"/>
                                            </a:cubicBezTo>
                                            <a:cubicBezTo>
                                              <a:pt x="128" y="0"/>
                                              <a:pt x="128" y="0"/>
                                              <a:pt x="128" y="0"/>
                                            </a:cubicBezTo>
                                            <a:cubicBezTo>
                                              <a:pt x="143" y="0"/>
                                              <a:pt x="156" y="12"/>
                                              <a:pt x="156" y="26"/>
                                            </a:cubicBezTo>
                                            <a:cubicBezTo>
                                              <a:pt x="156" y="167"/>
                                              <a:pt x="156" y="167"/>
                                              <a:pt x="156" y="167"/>
                                            </a:cubicBezTo>
                                            <a:cubicBezTo>
                                              <a:pt x="156" y="181"/>
                                              <a:pt x="143" y="192"/>
                                              <a:pt x="128" y="192"/>
                                            </a:cubicBezTo>
                                            <a:cubicBezTo>
                                              <a:pt x="28" y="192"/>
                                              <a:pt x="28" y="192"/>
                                              <a:pt x="28" y="192"/>
                                            </a:cubicBezTo>
                                            <a:cubicBezTo>
                                              <a:pt x="13" y="192"/>
                                              <a:pt x="0" y="181"/>
                                              <a:pt x="0" y="167"/>
                                            </a:cubicBezTo>
                                            <a:cubicBezTo>
                                              <a:pt x="0" y="127"/>
                                              <a:pt x="0" y="127"/>
                                              <a:pt x="0" y="127"/>
                                            </a:cubicBezTo>
                                          </a:path>
                                        </a:pathLst>
                                      </a:custGeom>
                                      <a:noFill/>
                                      <a:ln w="22225" cap="rnd">
                                        <a:solidFill>
                                          <a:srgbClr val="000000"/>
                                        </a:solidFill>
                                        <a:prstDash val="solid"/>
                                        <a:round/>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14AB22E" id="组合 126" o:spid="_x0000_s1026" style="position:absolute;left:0;text-align:left;margin-left:3.65pt;margin-top:8.25pt;width:28.1pt;height:27.8pt;z-index:251665408" coordsize="561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oO/QQAACgUAAAOAAAAZHJzL2Uyb0RvYy54bWzsWNFuq0YQfa/Uf1jxWKkxYIMNinOlJk1U&#10;KW2vlPQD1oANErB0wSG5X98zy4LBFxKSK13dh+bBgdnZw8yZ4czal5+es5Q9RbJMRL41rAvTYFEe&#10;iDDJD1vjn8fbXzcGKyuehzwVebQ1XqLS+HT180+XdeFHtohFGkaSASQv/brYGnFVFf5iUQZxlPHy&#10;QhRRjsW9kBmvcCsPi1DyGuhZurBN013UQoaFFEFUlrDeNIvGlcLf76Og+nu/L6OKpVsDsVXqU6rP&#10;HX0uri65f5C8iJNAh8E/EEXGkxwP7aBueMXZUSZfQWVJIEUp9tVFILKF2O+TIFI5IBvLPMvmTopj&#10;oXI5+PWh6GgCtWc8fRg2+OvpThYPxWcJJuriAC7UHeXyvJcZ/UeU7FlR9tJRFj1XLIBx6bjOxjJY&#10;gKWlszQdTWkQg/evdgXx73qf41qOjd6gfbj21g6VYtE+dDEIpS7QHOUp//Lb8n+IeREpWksf+X+W&#10;LAnRu/bSYDnP0KT3SR4xx6aI6NHwuc41QaVfgiu2q/8UITz5sRKq7qNc2euNZ2lCWsJs19sgWZW4&#10;Wupy5n4hy+ouEhmji62RIgwFzp/uy6qhp3WhuuTiNklT2Lmf5qzeGjb+CJrjRZJ5qPaWIk1C8iO3&#10;Uh5216lkT5xeB/WnaR+40UNueBk3fmqJ3LiPfszDJpA0R7mIHeKj4WknwhdFk7KjYI35O1Ru1Vbu&#10;VkYRiQVzlr3qde09s3qWZ7qrtcHQm/pSZd+W0DNXG9261nrlgvKGkrYHgmNTRmKsLR2UIUQRyXQI&#10;dZs9QpD2WQq9+WXBTFazpdXQfPLAm9V5uCaLmdtKVgdi91yW1igKGrtDWY6jgMHOZTwUNFbPo40E&#10;3dslxuOmTbkfPOc6WVwxTrPAVN1YiJJEgTIHuY8qX0DAi5iZcEaG5Kwq+qYzEiHntiYKudmkI5KY&#10;CefTQBoM02DXsF/wihKhgOiSXiwUhsVbA+STNRNP0aNQ69VJ4prK4FGn5eC4S4Lfoi9TzniAAiB4&#10;BL3UtR0xUgYDsOFds6MhdQDyuukMFbeUsJLhjgTlc+rnH1Nz6AQCwYyF/GKwGtN8a5T/HrmMDJb+&#10;kWNceNZqBS4qdbNy1jZuZH9l11/Jj9m1gEKiLDwPgLo1qvbyumpODxjf4Og+fygCciQF0GPqu6ke&#10;3shmXp1Ub0WB6Jn1btUzHc8CJjpR91AreCsHIxoiMjGsqTdPHfIuxbMc91XJcyF5lqcmcV84+5pH&#10;ajUC09c8ewKmL3r2ZhznXPZGonF7ymhN4WCcDORzBAczpXNBRuPxeD2nqbxw5piBZPWHi+Wux6m2&#10;+lxPZkfdcYrdsyew5hBOLTgDqk/6RAtYfc6nE+zTPoXUZ92ye1RBHn/8+Tc5WUEiDcu1ki/l9coY&#10;Bk/k7M1yphYkbzRZczh6fcRTlyn3eUPe0lMevTILXeeJhpjlrjO1BqnSIOyONR85RJBI0SmC3vxX&#10;jhFKEPGwOccIW6tnf/5P29Qo759Ipg8RqAeYas8n9HajOoOTBX15a22zgKEdpx0d8pvGedirkQgV&#10;3wjxLBeqAqwNTfPQ9RZIyICVWeb3PQFfpfu867S6WdHUuWVSm2c9QfN8hjTHOgted8gZfKMB1jAp&#10;bWy4nAWud9gD9t82nmHj9v/TLZ17v/V0q36bwc9R6nuC/umMfu/q36vT8OkHvqv/AAAA//8DAFBL&#10;AwQUAAYACAAAACEAeilZzNsAAAAGAQAADwAAAGRycy9kb3ducmV2LnhtbEyOTUvDQBCG74L/YRnB&#10;m92koVFiNqUU9VQEW0G8TZNpEpqdDdltkv57x5OehveDd558PdtOjTT41rGBeBGBIi5d1XJt4PPw&#10;+vAEygfkCjvHZOBKHtbF7U2OWeUm/qBxH2olI+wzNNCE0Gda+7Ihi37hemLJTm6wGEQOta4GnGTc&#10;dnoZRam22LJ8aLCnbUPleX+xBt4mnDZJ/DLuzqft9fuwev/axWTM/d28eQYVaA5/ZfjFF3QohOno&#10;Llx51Rl4TKQodroCJXGayD2KvYxBF7n+j1/8AAAA//8DAFBLAQItABQABgAIAAAAIQC2gziS/gAA&#10;AOEBAAATAAAAAAAAAAAAAAAAAAAAAABbQ29udGVudF9UeXBlc10ueG1sUEsBAi0AFAAGAAgAAAAh&#10;ADj9If/WAAAAlAEAAAsAAAAAAAAAAAAAAAAALwEAAF9yZWxzLy5yZWxzUEsBAi0AFAAGAAgAAAAh&#10;APMUyg79BAAAKBQAAA4AAAAAAAAAAAAAAAAALgIAAGRycy9lMm9Eb2MueG1sUEsBAi0AFAAGAAgA&#10;AAAhAHopWczbAAAABgEAAA8AAAAAAAAAAAAAAAAAVwcAAGRycy9kb3ducmV2LnhtbFBLBQYAAAAA&#10;BAAEAPMAAABfCAAAAAA=&#10;">
                            <v:line id="Line 52" o:spid="_x0000_s1027" style="position:absolute;visibility:visible;mso-wrap-style:square" from="0,2789" to="2698,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uobwgAAANwAAAAPAAAAZHJzL2Rvd25yZXYueG1sRE9Na8JA&#10;EL0L/Q/LCL2IbprSotFVJGAp9KJW8TpkxySYnY27q8Z/3xUK3ubxPme26EwjruR8bVnB2ygBQVxY&#10;XXOpYPe7Go5B+ICssbFMCu7kYTF/6c0w0/bGG7puQyliCPsMFVQhtJmUvqjIoB/ZljhyR+sMhghd&#10;KbXDWww3jUyT5FMarDk2VNhSXlFx2l6MgtxdmL5+Ujlp1/vBeXm4f5hNrtRrv1tOQQTqwlP87/7W&#10;cX76Do9n4gVy/gcAAP//AwBQSwECLQAUAAYACAAAACEA2+H2y+4AAACFAQAAEwAAAAAAAAAAAAAA&#10;AAAAAAAAW0NvbnRlbnRfVHlwZXNdLnhtbFBLAQItABQABgAIAAAAIQBa9CxbvwAAABUBAAALAAAA&#10;AAAAAAAAAAAAAB8BAABfcmVscy8ucmVsc1BLAQItABQABgAIAAAAIQD3JuobwgAAANwAAAAPAAAA&#10;AAAAAAAAAAAAAAcCAABkcnMvZG93bnJldi54bWxQSwUGAAAAAAMAAwC3AAAA9gIAAAAA&#10;" strokeweight="1.75pt">
                              <v:stroke endcap="round"/>
                            </v:line>
                            <v:shape id="Freeform 53" o:spid="_x0000_s1028" style="position:absolute;left:1906;top:1906;width:905;height:1746;visibility:visible;mso-wrap-style:square;v-text-anchor:top" coordsize="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m1wgAAANwAAAAPAAAAZHJzL2Rvd25yZXYueG1sRE/basJA&#10;EH0v+A/LCH2rGy9Uja4iQkEqFJsEfB2yYxLMzobdVdO/dwuFvs3hXGe97U0r7uR8Y1nBeJSAIC6t&#10;brhSUOQfbwsQPiBrbC2Tgh/ysN0MXtaYavvgb7pnoRIxhH2KCuoQulRKX9Zk0I9sRxy5i3UGQ4Su&#10;ktrhI4abVk6S5F0abDg21NjRvqbymt2Mgv0hP03Ps+K4nLspfukC85P5VOp12O9WIAL14V/85z7o&#10;OH8yg99n4gVy8wQAAP//AwBQSwECLQAUAAYACAAAACEA2+H2y+4AAACFAQAAEwAAAAAAAAAAAAAA&#10;AAAAAAAAW0NvbnRlbnRfVHlwZXNdLnhtbFBLAQItABQABgAIAAAAIQBa9CxbvwAAABUBAAALAAAA&#10;AAAAAAAAAAAAAB8BAABfcmVscy8ucmVsc1BLAQItABQABgAIAAAAIQCGRDm1wgAAANwAAAAPAAAA&#10;AAAAAAAAAAAAAAcCAABkcnMvZG93bnJldi54bWxQSwUGAAAAAAMAAwC3AAAA9gIAAAAA&#10;" path="m,60c,60,31,30,31,30,,,,,,e" filled="f" strokeweight="1.75pt">
                              <v:stroke endcap="round"/>
                              <v:path arrowok="t" o:connecttype="custom" o:connectlocs="0,174625;90488,87313;0,0" o:connectangles="0,0,0"/>
                            </v:shape>
                            <v:shape id="Freeform 54" o:spid="_x0000_s1029" style="position:absolute;left:1059;width:4556;height:5619;visibility:visible;mso-wrap-style:square;v-text-anchor:top" coordsize="15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JvvAAAANwAAAAPAAAAZHJzL2Rvd25yZXYueG1sRE9LCsIw&#10;EN0L3iGM4E5TxW81ilgEF278HGBoxrbYTEoTa729EQR383jfWW9bU4qGaldYVjAaRiCIU6sLzhTc&#10;rofBAoTzyBpLy6TgTQ62m25njbG2Lz5Tc/GZCCHsYlSQe1/FUro0J4NuaCviwN1tbdAHWGdS1/gK&#10;4aaU4yiaSYMFh4YcK9rnlD4uT6NgJpvEN4f7KXGTxCznpHly0kr1e+1uBcJT6//in/uow/zxFL7P&#10;hAvk5gMAAP//AwBQSwECLQAUAAYACAAAACEA2+H2y+4AAACFAQAAEwAAAAAAAAAAAAAAAAAAAAAA&#10;W0NvbnRlbnRfVHlwZXNdLnhtbFBLAQItABQABgAIAAAAIQBa9CxbvwAAABUBAAALAAAAAAAAAAAA&#10;AAAAAB8BAABfcmVscy8ucmVsc1BLAQItABQABgAIAAAAIQAxVVJvvAAAANwAAAAPAAAAAAAAAAAA&#10;AAAAAAcCAABkcnMvZG93bnJldi54bWxQSwUGAAAAAAMAAwC3AAAA8AIAAAAA&#10;" path="m,66c,26,,26,,26,,12,13,,28,,128,,128,,128,v15,,28,12,28,26c156,167,156,167,156,167v,14,-13,25,-28,25c28,192,28,192,28,192,13,192,,181,,167,,127,,127,,127e" filled="f" strokeweight="1.75pt">
                              <v:stroke endcap="round"/>
                              <v:path arrowok="t" o:connecttype="custom" o:connectlocs="0,193179;0,76101;81777,0;373836,0;455613,76101;455613,488801;373836,561975;81777,561975;0,488801;0,371723" o:connectangles="0,0,0,0,0,0,0,0,0,0"/>
                            </v:shape>
                          </v:group>
                        </w:pict>
                      </mc:Fallback>
                    </mc:AlternateContent>
                  </w:r>
                </w:p>
                <w:p w14:paraId="006A7604" w14:textId="77777777" w:rsidR="008F265F" w:rsidRDefault="00A542E4">
                  <w:pPr>
                    <w:spacing w:line="280" w:lineRule="exact"/>
                    <w:ind w:firstLineChars="200" w:firstLine="422"/>
                    <w:rPr>
                      <w:rFonts w:ascii="宋体" w:eastAsia="仿宋_GB2312" w:hAnsi="宋体"/>
                      <w:b/>
                    </w:rPr>
                  </w:pPr>
                  <w:r>
                    <w:rPr>
                      <w:rFonts w:ascii="宋体" w:eastAsia="仿宋_GB2312" w:hAnsi="宋体" w:hint="eastAsia"/>
                      <w:b/>
                    </w:rPr>
                    <w:t>¥</w:t>
                  </w:r>
                </w:p>
              </w:tc>
              <w:tc>
                <w:tcPr>
                  <w:tcW w:w="1990" w:type="dxa"/>
                  <w:tcBorders>
                    <w:bottom w:val="single" w:sz="4" w:space="0" w:color="auto"/>
                    <w:right w:val="nil"/>
                  </w:tcBorders>
                  <w:vAlign w:val="center"/>
                </w:tcPr>
                <w:p w14:paraId="0F3E3A71" w14:textId="77777777" w:rsidR="008F265F" w:rsidRDefault="00A542E4">
                  <w:pPr>
                    <w:spacing w:line="280" w:lineRule="exact"/>
                    <w:rPr>
                      <w:rFonts w:ascii="宋体" w:eastAsia="仿宋_GB2312" w:hAnsi="宋体"/>
                      <w:b/>
                    </w:rPr>
                  </w:pPr>
                  <w:r>
                    <w:rPr>
                      <w:rFonts w:ascii="宋体" w:eastAsia="仿宋_GB2312" w:hAnsi="宋体" w:hint="eastAsia"/>
                      <w:b/>
                    </w:rPr>
                    <w:t>第三章</w:t>
                  </w:r>
                </w:p>
                <w:p w14:paraId="6154C35D" w14:textId="77777777" w:rsidR="008F265F" w:rsidRDefault="00A542E4">
                  <w:pPr>
                    <w:spacing w:line="280" w:lineRule="exact"/>
                    <w:rPr>
                      <w:rFonts w:ascii="宋体" w:eastAsia="仿宋_GB2312" w:hAnsi="宋体"/>
                    </w:rPr>
                  </w:pPr>
                  <w:r>
                    <w:rPr>
                      <w:rFonts w:ascii="宋体" w:eastAsia="仿宋_GB2312" w:hAnsi="宋体" w:hint="eastAsia"/>
                      <w:b/>
                    </w:rPr>
                    <w:t>如何支付保险费</w:t>
                  </w:r>
                </w:p>
              </w:tc>
              <w:tc>
                <w:tcPr>
                  <w:tcW w:w="6657" w:type="dxa"/>
                  <w:tcBorders>
                    <w:left w:val="nil"/>
                    <w:bottom w:val="single" w:sz="4" w:space="0" w:color="auto"/>
                  </w:tcBorders>
                </w:tcPr>
                <w:p w14:paraId="0BD7A29D" w14:textId="77777777" w:rsidR="008F265F" w:rsidRDefault="00A542E4">
                  <w:pPr>
                    <w:spacing w:line="280" w:lineRule="exact"/>
                    <w:rPr>
                      <w:rFonts w:ascii="宋体" w:eastAsia="仿宋_GB2312" w:hAnsi="宋体"/>
                    </w:rPr>
                  </w:pPr>
                  <w:r>
                    <w:rPr>
                      <w:rFonts w:ascii="宋体" w:eastAsia="仿宋_GB2312" w:hAnsi="宋体" w:hint="eastAsia"/>
                    </w:rPr>
                    <w:t>第七条</w:t>
                  </w:r>
                  <w:r>
                    <w:rPr>
                      <w:rFonts w:ascii="宋体" w:eastAsia="仿宋_GB2312" w:hAnsi="宋体" w:hint="eastAsia"/>
                    </w:rPr>
                    <w:t xml:space="preserve">  </w:t>
                  </w:r>
                  <w:r>
                    <w:rPr>
                      <w:rFonts w:ascii="宋体" w:eastAsia="仿宋_GB2312" w:hAnsi="宋体" w:hint="eastAsia"/>
                    </w:rPr>
                    <w:t>保险费的支付</w:t>
                  </w:r>
                </w:p>
                <w:p w14:paraId="6A861854" w14:textId="77777777" w:rsidR="008F265F" w:rsidRDefault="00A542E4">
                  <w:pPr>
                    <w:spacing w:line="280" w:lineRule="exact"/>
                    <w:rPr>
                      <w:rFonts w:ascii="宋体" w:eastAsia="仿宋_GB2312" w:hAnsi="宋体"/>
                    </w:rPr>
                  </w:pPr>
                  <w:r>
                    <w:rPr>
                      <w:rFonts w:ascii="宋体" w:eastAsia="仿宋_GB2312" w:hAnsi="宋体" w:hint="eastAsia"/>
                    </w:rPr>
                    <w:t>第</w:t>
                  </w:r>
                  <w:r>
                    <w:rPr>
                      <w:rFonts w:ascii="宋体" w:eastAsia="仿宋_GB2312" w:hAnsi="宋体"/>
                    </w:rPr>
                    <w:t>八</w:t>
                  </w:r>
                  <w:r>
                    <w:rPr>
                      <w:rFonts w:ascii="宋体" w:eastAsia="仿宋_GB2312" w:hAnsi="宋体" w:hint="eastAsia"/>
                    </w:rPr>
                    <w:t>条</w:t>
                  </w:r>
                  <w:r>
                    <w:rPr>
                      <w:rFonts w:ascii="宋体" w:eastAsia="仿宋_GB2312" w:hAnsi="宋体" w:hint="eastAsia"/>
                    </w:rPr>
                    <w:t xml:space="preserve">  </w:t>
                  </w:r>
                  <w:r>
                    <w:rPr>
                      <w:rFonts w:ascii="宋体" w:eastAsia="仿宋_GB2312" w:hAnsi="宋体" w:hint="eastAsia"/>
                    </w:rPr>
                    <w:t>宽限期</w:t>
                  </w:r>
                </w:p>
                <w:p w14:paraId="356050AB" w14:textId="77777777" w:rsidR="008F265F" w:rsidRDefault="00A542E4">
                  <w:pPr>
                    <w:spacing w:line="280" w:lineRule="exact"/>
                    <w:rPr>
                      <w:rFonts w:ascii="宋体" w:eastAsia="仿宋_GB2312" w:hAnsi="宋体"/>
                    </w:rPr>
                  </w:pPr>
                  <w:r>
                    <w:rPr>
                      <w:rFonts w:ascii="宋体" w:eastAsia="仿宋_GB2312" w:hAnsi="宋体" w:hint="eastAsia"/>
                    </w:rPr>
                    <w:t>第</w:t>
                  </w:r>
                  <w:r>
                    <w:rPr>
                      <w:rFonts w:ascii="宋体" w:eastAsia="仿宋_GB2312" w:hAnsi="宋体"/>
                    </w:rPr>
                    <w:t>九</w:t>
                  </w:r>
                  <w:r>
                    <w:rPr>
                      <w:rFonts w:ascii="宋体" w:eastAsia="仿宋_GB2312" w:hAnsi="宋体" w:hint="eastAsia"/>
                    </w:rPr>
                    <w:t>条</w:t>
                  </w:r>
                  <w:r>
                    <w:rPr>
                      <w:rFonts w:ascii="宋体" w:eastAsia="仿宋_GB2312" w:hAnsi="宋体" w:hint="eastAsia"/>
                    </w:rPr>
                    <w:t xml:space="preserve">  </w:t>
                  </w:r>
                  <w:r>
                    <w:rPr>
                      <w:rFonts w:ascii="宋体" w:eastAsia="仿宋_GB2312" w:hAnsi="宋体" w:hint="eastAsia"/>
                    </w:rPr>
                    <w:t>效力中止与恢复</w:t>
                  </w:r>
                </w:p>
              </w:tc>
            </w:tr>
            <w:tr w:rsidR="008F265F" w14:paraId="14C6C0FE" w14:textId="77777777">
              <w:trPr>
                <w:trHeight w:hRule="exact" w:val="340"/>
              </w:trPr>
              <w:tc>
                <w:tcPr>
                  <w:tcW w:w="1006" w:type="dxa"/>
                  <w:tcBorders>
                    <w:top w:val="nil"/>
                    <w:left w:val="nil"/>
                    <w:bottom w:val="nil"/>
                    <w:right w:val="nil"/>
                  </w:tcBorders>
                  <w:vAlign w:val="center"/>
                </w:tcPr>
                <w:p w14:paraId="5EFEF480" w14:textId="77777777" w:rsidR="008F265F" w:rsidRDefault="008F265F">
                  <w:pPr>
                    <w:spacing w:line="280" w:lineRule="exact"/>
                    <w:rPr>
                      <w:rFonts w:ascii="宋体" w:eastAsia="仿宋_GB2312" w:hAnsi="宋体"/>
                      <w:b/>
                    </w:rPr>
                  </w:pPr>
                </w:p>
              </w:tc>
              <w:tc>
                <w:tcPr>
                  <w:tcW w:w="1990" w:type="dxa"/>
                  <w:tcBorders>
                    <w:left w:val="nil"/>
                    <w:right w:val="nil"/>
                  </w:tcBorders>
                  <w:vAlign w:val="center"/>
                </w:tcPr>
                <w:p w14:paraId="75F6AA76" w14:textId="77777777" w:rsidR="008F265F" w:rsidRDefault="008F265F">
                  <w:pPr>
                    <w:spacing w:line="280" w:lineRule="exact"/>
                    <w:rPr>
                      <w:rFonts w:ascii="宋体" w:eastAsia="仿宋_GB2312" w:hAnsi="宋体"/>
                      <w:b/>
                    </w:rPr>
                  </w:pPr>
                </w:p>
              </w:tc>
              <w:tc>
                <w:tcPr>
                  <w:tcW w:w="6657" w:type="dxa"/>
                  <w:tcBorders>
                    <w:left w:val="nil"/>
                    <w:right w:val="nil"/>
                  </w:tcBorders>
                  <w:vAlign w:val="center"/>
                </w:tcPr>
                <w:p w14:paraId="12F67A83" w14:textId="77777777" w:rsidR="008F265F" w:rsidRDefault="008F265F">
                  <w:pPr>
                    <w:spacing w:line="280" w:lineRule="exact"/>
                    <w:rPr>
                      <w:rFonts w:ascii="宋体" w:eastAsia="仿宋_GB2312" w:hAnsi="宋体"/>
                    </w:rPr>
                  </w:pPr>
                </w:p>
              </w:tc>
            </w:tr>
            <w:tr w:rsidR="008F265F" w14:paraId="47313FEF" w14:textId="77777777">
              <w:trPr>
                <w:trHeight w:val="340"/>
              </w:trPr>
              <w:tc>
                <w:tcPr>
                  <w:tcW w:w="1006" w:type="dxa"/>
                  <w:tcBorders>
                    <w:top w:val="nil"/>
                    <w:left w:val="nil"/>
                    <w:bottom w:val="nil"/>
                  </w:tcBorders>
                </w:tcPr>
                <w:p w14:paraId="27E69C1A" w14:textId="77777777" w:rsidR="008F265F" w:rsidRDefault="00A542E4">
                  <w:pPr>
                    <w:spacing w:line="280" w:lineRule="exact"/>
                    <w:rPr>
                      <w:rFonts w:ascii="宋体" w:eastAsia="仿宋_GB2312" w:hAnsi="宋体"/>
                      <w:b/>
                    </w:rPr>
                  </w:pPr>
                  <w:r>
                    <w:rPr>
                      <w:rFonts w:ascii="宋体" w:eastAsia="仿宋_GB2312" w:hAnsi="宋体"/>
                      <w:b/>
                      <w:noProof/>
                    </w:rPr>
                    <mc:AlternateContent>
                      <mc:Choice Requires="wpg">
                        <w:drawing>
                          <wp:anchor distT="0" distB="0" distL="114300" distR="114300" simplePos="0" relativeHeight="251663360" behindDoc="0" locked="0" layoutInCell="1" allowOverlap="1" wp14:anchorId="2F973236" wp14:editId="566E0D25">
                            <wp:simplePos x="0" y="0"/>
                            <wp:positionH relativeFrom="column">
                              <wp:posOffset>95885</wp:posOffset>
                            </wp:positionH>
                            <wp:positionV relativeFrom="paragraph">
                              <wp:posOffset>131445</wp:posOffset>
                            </wp:positionV>
                            <wp:extent cx="400050" cy="384810"/>
                            <wp:effectExtent l="0" t="0" r="19050" b="15240"/>
                            <wp:wrapNone/>
                            <wp:docPr id="81" name="组合 81"/>
                            <wp:cNvGraphicFramePr/>
                            <a:graphic xmlns:a="http://schemas.openxmlformats.org/drawingml/2006/main">
                              <a:graphicData uri="http://schemas.microsoft.com/office/word/2010/wordprocessingGroup">
                                <wpg:wgp>
                                  <wpg:cNvGrpSpPr/>
                                  <wpg:grpSpPr>
                                    <a:xfrm>
                                      <a:off x="0" y="0"/>
                                      <a:ext cx="400367" cy="385022"/>
                                      <a:chOff x="0" y="0"/>
                                      <a:chExt cx="550863" cy="530225"/>
                                    </a:xfrm>
                                  </wpg:grpSpPr>
                                  <wps:wsp>
                                    <wps:cNvPr id="77" name="Freeform 17"/>
                                    <wps:cNvSpPr/>
                                    <wps:spPr bwMode="auto">
                                      <a:xfrm>
                                        <a:off x="0" y="82550"/>
                                        <a:ext cx="404813" cy="301625"/>
                                      </a:xfrm>
                                      <a:custGeom>
                                        <a:avLst/>
                                        <a:gdLst>
                                          <a:gd name="T0" fmla="*/ 173 w 255"/>
                                          <a:gd name="T1" fmla="*/ 190 h 190"/>
                                          <a:gd name="T2" fmla="*/ 0 w 255"/>
                                          <a:gd name="T3" fmla="*/ 190 h 190"/>
                                          <a:gd name="T4" fmla="*/ 0 w 255"/>
                                          <a:gd name="T5" fmla="*/ 0 h 190"/>
                                          <a:gd name="T6" fmla="*/ 255 w 255"/>
                                          <a:gd name="T7" fmla="*/ 0 h 190"/>
                                          <a:gd name="T8" fmla="*/ 255 w 255"/>
                                          <a:gd name="T9" fmla="*/ 111 h 190"/>
                                        </a:gdLst>
                                        <a:ahLst/>
                                        <a:cxnLst>
                                          <a:cxn ang="0">
                                            <a:pos x="T0" y="T1"/>
                                          </a:cxn>
                                          <a:cxn ang="0">
                                            <a:pos x="T2" y="T3"/>
                                          </a:cxn>
                                          <a:cxn ang="0">
                                            <a:pos x="T4" y="T5"/>
                                          </a:cxn>
                                          <a:cxn ang="0">
                                            <a:pos x="T6" y="T7"/>
                                          </a:cxn>
                                          <a:cxn ang="0">
                                            <a:pos x="T8" y="T9"/>
                                          </a:cxn>
                                        </a:cxnLst>
                                        <a:rect l="0" t="0" r="r" b="b"/>
                                        <a:pathLst>
                                          <a:path w="255" h="190">
                                            <a:moveTo>
                                              <a:pt x="173" y="190"/>
                                            </a:moveTo>
                                            <a:lnTo>
                                              <a:pt x="0" y="190"/>
                                            </a:lnTo>
                                            <a:lnTo>
                                              <a:pt x="0" y="0"/>
                                            </a:lnTo>
                                            <a:lnTo>
                                              <a:pt x="255" y="0"/>
                                            </a:lnTo>
                                            <a:lnTo>
                                              <a:pt x="255" y="111"/>
                                            </a:lnTo>
                                          </a:path>
                                        </a:pathLst>
                                      </a:custGeom>
                                      <a:noFill/>
                                      <a:ln w="23813" cap="flat">
                                        <a:solidFill>
                                          <a:srgbClr val="000000"/>
                                        </a:solidFill>
                                        <a:prstDash val="solid"/>
                                        <a:miter lim="800000"/>
                                      </a:ln>
                                    </wps:spPr>
                                    <wps:bodyPr vert="horz" wrap="square" lIns="91440" tIns="45720" rIns="91440" bIns="45720" numCol="1" anchor="t" anchorCtr="0" compatLnSpc="1"/>
                                  </wps:wsp>
                                  <wps:wsp>
                                    <wps:cNvPr id="78" name="Freeform 18"/>
                                    <wps:cNvSpPr/>
                                    <wps:spPr bwMode="auto">
                                      <a:xfrm>
                                        <a:off x="19050" y="158750"/>
                                        <a:ext cx="531813" cy="371475"/>
                                      </a:xfrm>
                                      <a:custGeom>
                                        <a:avLst/>
                                        <a:gdLst>
                                          <a:gd name="T0" fmla="*/ 70 w 184"/>
                                          <a:gd name="T1" fmla="*/ 79 h 128"/>
                                          <a:gd name="T2" fmla="*/ 45 w 184"/>
                                          <a:gd name="T3" fmla="*/ 78 h 128"/>
                                          <a:gd name="T4" fmla="*/ 0 w 184"/>
                                          <a:gd name="T5" fmla="*/ 78 h 128"/>
                                          <a:gd name="T6" fmla="*/ 12 w 184"/>
                                          <a:gd name="T7" fmla="*/ 85 h 128"/>
                                          <a:gd name="T8" fmla="*/ 24 w 184"/>
                                          <a:gd name="T9" fmla="*/ 92 h 128"/>
                                          <a:gd name="T10" fmla="*/ 53 w 184"/>
                                          <a:gd name="T11" fmla="*/ 104 h 128"/>
                                          <a:gd name="T12" fmla="*/ 119 w 184"/>
                                          <a:gd name="T13" fmla="*/ 117 h 128"/>
                                          <a:gd name="T14" fmla="*/ 139 w 184"/>
                                          <a:gd name="T15" fmla="*/ 109 h 128"/>
                                          <a:gd name="T16" fmla="*/ 160 w 184"/>
                                          <a:gd name="T17" fmla="*/ 110 h 128"/>
                                          <a:gd name="T18" fmla="*/ 182 w 184"/>
                                          <a:gd name="T19" fmla="*/ 117 h 128"/>
                                          <a:gd name="T20" fmla="*/ 184 w 184"/>
                                          <a:gd name="T21" fmla="*/ 117 h 128"/>
                                          <a:gd name="T22" fmla="*/ 184 w 184"/>
                                          <a:gd name="T23" fmla="*/ 57 h 128"/>
                                          <a:gd name="T24" fmla="*/ 177 w 184"/>
                                          <a:gd name="T25" fmla="*/ 58 h 128"/>
                                          <a:gd name="T26" fmla="*/ 176 w 184"/>
                                          <a:gd name="T27" fmla="*/ 58 h 128"/>
                                          <a:gd name="T28" fmla="*/ 153 w 184"/>
                                          <a:gd name="T29" fmla="*/ 49 h 128"/>
                                          <a:gd name="T30" fmla="*/ 127 w 184"/>
                                          <a:gd name="T31" fmla="*/ 35 h 128"/>
                                          <a:gd name="T32" fmla="*/ 96 w 184"/>
                                          <a:gd name="T33" fmla="*/ 28 h 128"/>
                                          <a:gd name="T34" fmla="*/ 72 w 184"/>
                                          <a:gd name="T35" fmla="*/ 13 h 128"/>
                                          <a:gd name="T36" fmla="*/ 44 w 184"/>
                                          <a:gd name="T37" fmla="*/ 10 h 128"/>
                                          <a:gd name="T38" fmla="*/ 51 w 184"/>
                                          <a:gd name="T39" fmla="*/ 32 h 128"/>
                                          <a:gd name="T40" fmla="*/ 77 w 184"/>
                                          <a:gd name="T41" fmla="*/ 49 h 128"/>
                                          <a:gd name="T42" fmla="*/ 89 w 184"/>
                                          <a:gd name="T43" fmla="*/ 73 h 128"/>
                                          <a:gd name="T44" fmla="*/ 70 w 184"/>
                                          <a:gd name="T45" fmla="*/ 7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4" h="128">
                                            <a:moveTo>
                                              <a:pt x="70" y="79"/>
                                            </a:moveTo>
                                            <a:cubicBezTo>
                                              <a:pt x="61" y="79"/>
                                              <a:pt x="53" y="79"/>
                                              <a:pt x="45" y="78"/>
                                            </a:cubicBezTo>
                                            <a:cubicBezTo>
                                              <a:pt x="30" y="78"/>
                                              <a:pt x="15" y="77"/>
                                              <a:pt x="0" y="78"/>
                                            </a:cubicBezTo>
                                            <a:cubicBezTo>
                                              <a:pt x="1" y="81"/>
                                              <a:pt x="9" y="84"/>
                                              <a:pt x="12" y="85"/>
                                            </a:cubicBezTo>
                                            <a:cubicBezTo>
                                              <a:pt x="16" y="87"/>
                                              <a:pt x="20" y="90"/>
                                              <a:pt x="24" y="92"/>
                                            </a:cubicBezTo>
                                            <a:cubicBezTo>
                                              <a:pt x="33" y="97"/>
                                              <a:pt x="44" y="100"/>
                                              <a:pt x="53" y="104"/>
                                            </a:cubicBezTo>
                                            <a:cubicBezTo>
                                              <a:pt x="74" y="114"/>
                                              <a:pt x="95" y="128"/>
                                              <a:pt x="119" y="117"/>
                                            </a:cubicBezTo>
                                            <a:cubicBezTo>
                                              <a:pt x="126" y="114"/>
                                              <a:pt x="131" y="110"/>
                                              <a:pt x="139" y="109"/>
                                            </a:cubicBezTo>
                                            <a:cubicBezTo>
                                              <a:pt x="145" y="108"/>
                                              <a:pt x="154" y="108"/>
                                              <a:pt x="160" y="110"/>
                                            </a:cubicBezTo>
                                            <a:cubicBezTo>
                                              <a:pt x="167" y="113"/>
                                              <a:pt x="175" y="115"/>
                                              <a:pt x="182" y="117"/>
                                            </a:cubicBezTo>
                                            <a:cubicBezTo>
                                              <a:pt x="182" y="117"/>
                                              <a:pt x="183" y="117"/>
                                              <a:pt x="184" y="117"/>
                                            </a:cubicBezTo>
                                            <a:cubicBezTo>
                                              <a:pt x="184" y="57"/>
                                              <a:pt x="184" y="57"/>
                                              <a:pt x="184" y="57"/>
                                            </a:cubicBezTo>
                                            <a:cubicBezTo>
                                              <a:pt x="180" y="57"/>
                                              <a:pt x="177" y="58"/>
                                              <a:pt x="177" y="58"/>
                                            </a:cubicBezTo>
                                            <a:cubicBezTo>
                                              <a:pt x="176" y="58"/>
                                              <a:pt x="176" y="58"/>
                                              <a:pt x="176" y="58"/>
                                            </a:cubicBezTo>
                                            <a:cubicBezTo>
                                              <a:pt x="169" y="58"/>
                                              <a:pt x="159" y="52"/>
                                              <a:pt x="153" y="49"/>
                                            </a:cubicBezTo>
                                            <a:cubicBezTo>
                                              <a:pt x="145" y="44"/>
                                              <a:pt x="136" y="38"/>
                                              <a:pt x="127" y="35"/>
                                            </a:cubicBezTo>
                                            <a:cubicBezTo>
                                              <a:pt x="117" y="31"/>
                                              <a:pt x="105" y="32"/>
                                              <a:pt x="96" y="28"/>
                                            </a:cubicBezTo>
                                            <a:cubicBezTo>
                                              <a:pt x="87" y="25"/>
                                              <a:pt x="80" y="18"/>
                                              <a:pt x="72" y="13"/>
                                            </a:cubicBezTo>
                                            <a:cubicBezTo>
                                              <a:pt x="66" y="9"/>
                                              <a:pt x="50" y="0"/>
                                              <a:pt x="44" y="10"/>
                                            </a:cubicBezTo>
                                            <a:cubicBezTo>
                                              <a:pt x="40" y="18"/>
                                              <a:pt x="45" y="27"/>
                                              <a:pt x="51" y="32"/>
                                            </a:cubicBezTo>
                                            <a:cubicBezTo>
                                              <a:pt x="59" y="39"/>
                                              <a:pt x="69" y="42"/>
                                              <a:pt x="77" y="49"/>
                                            </a:cubicBezTo>
                                            <a:cubicBezTo>
                                              <a:pt x="84" y="54"/>
                                              <a:pt x="90" y="64"/>
                                              <a:pt x="89" y="73"/>
                                            </a:cubicBezTo>
                                            <a:cubicBezTo>
                                              <a:pt x="87" y="81"/>
                                              <a:pt x="77" y="79"/>
                                              <a:pt x="70" y="79"/>
                                            </a:cubicBezTo>
                                            <a:close/>
                                          </a:path>
                                        </a:pathLst>
                                      </a:custGeom>
                                      <a:noFill/>
                                      <a:ln w="23813" cap="flat">
                                        <a:solidFill>
                                          <a:srgbClr val="000000"/>
                                        </a:solidFill>
                                        <a:prstDash val="solid"/>
                                        <a:miter lim="800000"/>
                                      </a:ln>
                                    </wps:spPr>
                                    <wps:bodyPr vert="horz" wrap="square" lIns="91440" tIns="45720" rIns="91440" bIns="45720" numCol="1" anchor="t" anchorCtr="0" compatLnSpc="1"/>
                                  </wps:wsp>
                                  <wps:wsp>
                                    <wps:cNvPr id="79" name="Line 19"/>
                                    <wps:cNvCnPr/>
                                    <wps:spPr bwMode="auto">
                                      <a:xfrm>
                                        <a:off x="6350" y="44450"/>
                                        <a:ext cx="363538" cy="0"/>
                                      </a:xfrm>
                                      <a:prstGeom prst="line">
                                        <a:avLst/>
                                      </a:prstGeom>
                                      <a:noFill/>
                                      <a:ln w="23813" cap="flat">
                                        <a:solidFill>
                                          <a:srgbClr val="000000"/>
                                        </a:solidFill>
                                        <a:prstDash val="solid"/>
                                        <a:miter lim="800000"/>
                                      </a:ln>
                                    </wps:spPr>
                                    <wps:bodyPr/>
                                  </wps:wsp>
                                  <wps:wsp>
                                    <wps:cNvPr id="80" name="Line 20"/>
                                    <wps:cNvCnPr/>
                                    <wps:spPr bwMode="auto">
                                      <a:xfrm>
                                        <a:off x="38100" y="0"/>
                                        <a:ext cx="296863" cy="0"/>
                                      </a:xfrm>
                                      <a:prstGeom prst="line">
                                        <a:avLst/>
                                      </a:prstGeom>
                                      <a:noFill/>
                                      <a:ln w="23813" cap="flat">
                                        <a:solidFill>
                                          <a:srgbClr val="000000"/>
                                        </a:solidFill>
                                        <a:prstDash val="solid"/>
                                        <a:miter lim="800000"/>
                                      </a:ln>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DC4F08B" id="组合 81" o:spid="_x0000_s1026" style="position:absolute;left:0;text-align:left;margin-left:7.55pt;margin-top:10.35pt;width:31.5pt;height:30.3pt;z-index:251663360" coordsize="5508,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JggcAAP0hAAAOAAAAZHJzL2Uyb0RvYy54bWzsWttu20YQfS/QfyD4WKARlxeREiIHqNME&#10;BdI2gN0PoCnqAlAkS9KWk6/vmb1QuzI3WjtogSD1gy0th8OZM2fP7C79+s3jofIeyq7fN/XKZ68C&#10;3yvrolnv6+3K/+v23c+Z7/VDXq/zqqnLlf+p7P03Vz/+8PrYLsuw2TXVuuw8OKn75bFd+bthaJez&#10;WV/sykPev2rassbFTdMd8gFfu+1s3eVHeD9UszAI5rNj063brinKvsfoW3HRv+L+N5uyGP7cbPpy&#10;8KqVj9gG/rvjv+/o9+zqdb7cdnm72xcyjPwFURzyfY2Hjq7e5kPu3Xf7J64O+6Jr+mYzvCqaw6zZ&#10;bPZFyXNANiw4y+Z919y3PJft8rhtR5gA7RlOL3Zb/PHwvmtv2o8dkDi2W2DBv1Euj5vuQH8RpffI&#10;Ifs0QlY+Dl6BwTgIonnqewUuRVkShKGAtNgB9yd3Fbtf5X1JEmTzSNyXRLgtoftm6qEzI5RjC3L0&#10;p/z7r8v/Zpe3JYe1XyL/j523X6/8FFnU+QEcfdeVJTHOYykFRU+H2YhRv+wBl3d3/L1Zwzq/Hxpe&#10;+km4shCZCkhOkMUZk6lHAZufpZ4vi/t+eF82HPv84UM/CJKu8YlTbC3jvAWhN4cKfP1phlgj7+jh&#10;aeJh29GI6UaLwNt5bKF4PxqFmlEw7QcRnx5m8xNrRhY/iWEyGc1cM0FG0/GgXGM8lqygPaOJ1c9C&#10;M2KMnfABGbcK83ynylA81rIO+OTlJHMBL3/b9MR3Kgrmwi2TfIYVFc1iDNzJOHIyBrhkrGbKlz0D&#10;QzLmDEYmXzYGUGS80MMQN8lcOwjpuYR2vgcJvRN8a/OBIKJU6aN3XPnERW+HpgC60fiheShvG24x&#10;EFJgLH+spCOed7Koat1SQHqyU1fV35b7E1ac2vClrqm/wobHhFTdrEAHiYjwAreUHNepMWHCSZuw&#10;dfNuX1V8xlY1hyESsz1Hd9tU+cCx6JtqvyZDgqPvtnfXVec95NSk+I98rGHWdv3wNu93wo5fEtgf&#10;9gN6aLU/rPxMv7sC8yCkQq+Ejt0160/QLjRsdMJd0332vSOa38rv/77Pu9L3qt9qqOuCxTHgHPiX&#10;OElDfOn0K3f6lfr+cN0gdChNXhfwuvIH9fF6EM0W3Q6Ifahv2oIMgQ+PDKouAvv35R0cP5f3jOJ4&#10;obyDjRB2mjYsydJzjU8idtL4lMWpmrSqSeiUcdb4lCSVZbEo+7TEpwtSsJCnRgKmeoWu8DFJ6oQf&#10;XeLTbNrPucJPuNEV3uZGl3gWToejK3yWTIdjSHw87UdX+EU47YehlmOvSKiVTiQGOTgZsSC2uNKh&#10;Zmxh8aWDzVhq8aXDzSKbLx1xFlgYwAzM5zYu6agzxjvrUzYxHXeWWQrIdOStOZK4jNAD9Wm8QgN7&#10;G15Yfrr40rFPLNCHBvRpaglLhz6xzJnQQD6dW1zpyFtdGcDbiBrqwMcWPkQG7qElwUjHPbLMwkiH&#10;fWHJL9JRDy1QRTrqqYVXkQ46i6anTqSDHltYFemY28ge6ZgnbLp6kQ55ZFEZaqoj1W2UinXEbcWL&#10;dcQziy7EOuLYH0w2hthA3KIKsY643mKw+vmeF8nWhT31E1pSjyvILy/AGcrJzd12Agw14+ZqWXHB&#10;O6YCN3fbDZC4c3NjP2BNlfSbzKHQtKy7tNcgiebmbqmSDHNzt1RJarm5W6robMLcLVWSTPIOUXRJ&#10;lWSRm7ulStrHzd1SJYHj5m6pkopxc7dUSarIHGrkkirpETd3S5VEh5sbqQrufMWWk9ZsfMuJuk5t&#10;OVORVKogOG04i/u7ffFL+Vnfds4hxAhSWGPrx3eZCTT1ySDJIw3yVTffEOrepnxLJok7lG8m3fCC&#10;qkEZsrtrEXXG66acoDkhPrVzEJlIzcnGEhgQTAVNK0hyY8Qnp786U5L7bFHfBT8NdANE4LowfEua&#10;sEAeWBklwAJcUfNi5KmIh0E4weYRFYH3uFuSuNCyFWliwersn0ndOXsAo9UTd2UkgIW8GA4UEU20&#10;zW8yKskxFsitnRxOZGZnw3NBGyzg3XOgc1weLJ/DCiSGvasY5kQZhzMx45+FknnPyZWovXR1GlZF&#10;e0YdSACQQ2LQiMvChVEnkrJMwHrmno6Oyb1ZGWPUzX0qJti5o8ujbu7ngnZn7hM5Kk/uFa9ETeLn&#10;MxSTVptjTLYptB99NBSQYSUvu8vFKUzsIJRF7x1JEgh2otVq7hcCMbFvdcIGmkbOxVm8ci6rjfWQ&#10;5juVvB8b3cXI5yIajqRyLc+ODFkY1c4ZE9mkzQClUABhLepECJGAyQkRSQtIleZGMgjdXhuURH8G&#10;VdQsNZiCDkIlmBuDmSAnjorxQKe4ZSXN/idDNFv5+WrAlN2iavpSPPT/Q19+HPwNHvqCPeLQ98O+&#10;LvHii1gkD3yva/nO0/F93jySczaO4/Pj3ggXaX1Nb0FVw1UnvXRsT2/zPPqw8isEwtem6tQXpFYm&#10;tDL5Ft4f0KwgFP+703tSYq2QWHO+vJB4H4P1JEmNVF/1YjZczMd30t9bFfkLd/yPARdZ+f8Q9E8M&#10;+nde9dN/bVz9AwAA//8DAFBLAwQUAAYACAAAACEAkLnaR9wAAAAHAQAADwAAAGRycy9kb3ducmV2&#10;LnhtbEyOwWrDMBBE74X+g9hCb42shDTGtRxCaHsKhSaF0ptibWwTa2UsxXb+vttTc3zMMPPy9eRa&#10;MWAfGk8a1CwBgVR621Cl4evw9pSCCNGQNa0n1HDFAOvi/i43mfUjfeKwj5XgEQqZ0VDH2GVShrJG&#10;Z8LMd0icnXzvTGTsK2l7M/K4a+U8SZ6lMw3xQ2063NZYnvcXp+F9NONmoV6H3fm0vf4clh/fO4Va&#10;Pz5MmxcQEaf4X4Y/fVaHgp2O/kI2iJZ5qbipYZ6sQHC+SpmPGlK1AFnk8ta/+AUAAP//AwBQSwEC&#10;LQAUAAYACAAAACEAtoM4kv4AAADhAQAAEwAAAAAAAAAAAAAAAAAAAAAAW0NvbnRlbnRfVHlwZXNd&#10;LnhtbFBLAQItABQABgAIAAAAIQA4/SH/1gAAAJQBAAALAAAAAAAAAAAAAAAAAC8BAABfcmVscy8u&#10;cmVsc1BLAQItABQABgAIAAAAIQCP/OrJggcAAP0hAAAOAAAAAAAAAAAAAAAAAC4CAABkcnMvZTJv&#10;RG9jLnhtbFBLAQItABQABgAIAAAAIQCQudpH3AAAAAcBAAAPAAAAAAAAAAAAAAAAANwJAABkcnMv&#10;ZG93bnJldi54bWxQSwUGAAAAAAQABADzAAAA5QoAAAAA&#10;">
                            <v:shape id="Freeform 17" o:spid="_x0000_s1027" style="position:absolute;top:825;width:4048;height:3016;visibility:visible;mso-wrap-style:square;v-text-anchor:top" coordsize="25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GjxAAAANsAAAAPAAAAZHJzL2Rvd25yZXYueG1sRI9PawIx&#10;FMTvBb9DeEJvNWuhrqxGEUEp9FD8A+rtsXluVjcvS5Lq9tubQsHjMDO/YabzzjbiRj7UjhUMBxkI&#10;4tLpmisF+93qbQwiRGSNjWNS8EsB5rPeyxQL7e68ods2ViJBOBSowMTYFlKG0pDFMHAtcfLOzluM&#10;SfpKao/3BLeNfM+ykbRYc1ow2NLSUHnd/lgFH+UhM5t84eX567Judmt5vJy+lXrtd4sJiEhdfIb/&#10;259aQZ7D35f0A+TsAQAA//8DAFBLAQItABQABgAIAAAAIQDb4fbL7gAAAIUBAAATAAAAAAAAAAAA&#10;AAAAAAAAAABbQ29udGVudF9UeXBlc10ueG1sUEsBAi0AFAAGAAgAAAAhAFr0LFu/AAAAFQEAAAsA&#10;AAAAAAAAAAAAAAAAHwEAAF9yZWxzLy5yZWxzUEsBAi0AFAAGAAgAAAAhAIcbMaPEAAAA2wAAAA8A&#10;AAAAAAAAAAAAAAAABwIAAGRycy9kb3ducmV2LnhtbFBLBQYAAAAAAwADALcAAAD4AgAAAAA=&#10;" path="m173,190l,190,,,255,r,111e" filled="f" strokeweight=".66147mm">
                              <v:stroke joinstyle="miter"/>
                              <v:path arrowok="t" o:connecttype="custom" o:connectlocs="274638,301625;0,301625;0,0;404813,0;404813,176213" o:connectangles="0,0,0,0,0"/>
                            </v:shape>
                            <v:shape id="Freeform 18" o:spid="_x0000_s1028" style="position:absolute;left:190;top:1587;width:5318;height:3715;visibility:visible;mso-wrap-style:square;v-text-anchor:top" coordsize="18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p7wAAAANsAAAAPAAAAZHJzL2Rvd25yZXYueG1sRE/LisIw&#10;FN0P+A/hCu409YFKNYo4IzgDLqy6vzTXttrclCRq/fvJYmCWh/NerltTiyc5X1lWMBwkIIhzqysu&#10;FJxPu/4chA/IGmvLpOBNHtarzscSU21ffKRnFgoRQ9inqKAMoUml9HlJBv3ANsSRu1pnMEToCqkd&#10;vmK4qeUoSabSYMWxocSGtiXl9+xhFHxV5jy5z2+Ha/Zp3fj7Z6fz7UWpXrfdLEAEasO/+M+91wpm&#10;cWz8En+AXP0CAAD//wMAUEsBAi0AFAAGAAgAAAAhANvh9svuAAAAhQEAABMAAAAAAAAAAAAAAAAA&#10;AAAAAFtDb250ZW50X1R5cGVzXS54bWxQSwECLQAUAAYACAAAACEAWvQsW78AAAAVAQAACwAAAAAA&#10;AAAAAAAAAAAfAQAAX3JlbHMvLnJlbHNQSwECLQAUAAYACAAAACEARIoqe8AAAADbAAAADwAAAAAA&#10;AAAAAAAAAAAHAgAAZHJzL2Rvd25yZXYueG1sUEsFBgAAAAADAAMAtwAAAPQCAAAAAA==&#10;" path="m70,79v-9,,-17,,-25,-1c30,78,15,77,,78v1,3,9,6,12,7c16,87,20,90,24,92v9,5,20,8,29,12c74,114,95,128,119,117v7,-3,12,-7,20,-8c145,108,154,108,160,110v7,3,15,5,22,7c182,117,183,117,184,117v,-60,,-60,,-60c180,57,177,58,177,58v-1,,-1,,-1,c169,58,159,52,153,49,145,44,136,38,127,35,117,31,105,32,96,28,87,25,80,18,72,13,66,9,50,,44,10v-4,8,1,17,7,22c59,39,69,42,77,49v7,5,13,15,12,24c87,81,77,79,70,79xe" filled="f" strokeweight=".66147mm">
                              <v:stroke joinstyle="miter"/>
                              <v:path arrowok="t" o:connecttype="custom" o:connectlocs="202320,229270;130063,226368;0,226368;34683,246683;69367,266998;153185,301823;343944,339551;401750,316334;462446,319236;526032,339551;531813,339551;531813,165422;511581,168325;508691,168325;442214,142205;367067,101575;277468,81260;208101,37728;127173,29021;147405,92869;222552,142205;257236,211857;202320,229270" o:connectangles="0,0,0,0,0,0,0,0,0,0,0,0,0,0,0,0,0,0,0,0,0,0,0"/>
                            </v:shape>
                            <v:line id="Line 19" o:spid="_x0000_s1029" style="position:absolute;visibility:visible;mso-wrap-style:square" from="63,444" to="369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IxAAAANsAAAAPAAAAZHJzL2Rvd25yZXYueG1sRI/BbsIw&#10;EETvlfoP1lbqrThwgCbEINSC2gOX0iLluMSLExGvI9tA+ve4UiWOo5l5oymXg+3EhXxoHSsYjzIQ&#10;xLXTLRsFP9+bl1cQISJr7ByTgl8KsFw8PpRYaHflL7rsohEJwqFABU2MfSFlqBuyGEauJ07e0XmL&#10;MUlvpPZ4TXDbyUmWTaXFltNCgz29NVSfdmerIDfr99pscz60M73xldx/6Gqv1PPTsJqDiDTEe/i/&#10;/akVzHL4+5J+gFzcAAAA//8DAFBLAQItABQABgAIAAAAIQDb4fbL7gAAAIUBAAATAAAAAAAAAAAA&#10;AAAAAAAAAABbQ29udGVudF9UeXBlc10ueG1sUEsBAi0AFAAGAAgAAAAhAFr0LFu/AAAAFQEAAAsA&#10;AAAAAAAAAAAAAAAAHwEAAF9yZWxzLy5yZWxzUEsBAi0AFAAGAAgAAAAhAKWbtsjEAAAA2wAAAA8A&#10;AAAAAAAAAAAAAAAABwIAAGRycy9kb3ducmV2LnhtbFBLBQYAAAAAAwADALcAAAD4AgAAAAA=&#10;" strokeweight=".66147mm">
                              <v:stroke joinstyle="miter"/>
                            </v:line>
                            <v:line id="Line 20" o:spid="_x0000_s1030" style="position:absolute;visibility:visible;mso-wrap-style:square" from="381,0" to="3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9ywAAAANsAAAAPAAAAZHJzL2Rvd25yZXYueG1sRE+7bsIw&#10;FN2R+AfrInUDBwYKAYMQD5WhC7RIjJf44kTE15FtIPx9PVRiPDrv+bK1tXiQD5VjBcNBBoK4cLpi&#10;o+D3Z9efgAgRWWPtmBS8KMBy0e3MMdfuyQd6HKMRKYRDjgrKGJtcylCUZDEMXEOcuKvzFmOC3kjt&#10;8ZnCbS1HWTaWFitODSU2tC6puB3vVsHUbDeF+Z7ypfrUO3+Wpy99Pin10WtXMxCR2vgW/7v3WsEk&#10;rU9f0g+Qiz8AAAD//wMAUEsBAi0AFAAGAAgAAAAhANvh9svuAAAAhQEAABMAAAAAAAAAAAAAAAAA&#10;AAAAAFtDb250ZW50X1R5cGVzXS54bWxQSwECLQAUAAYACAAAACEAWvQsW78AAAAVAQAACwAAAAAA&#10;AAAAAAAAAAAfAQAAX3JlbHMvLnJlbHNQSwECLQAUAAYACAAAACEAAXRvcsAAAADbAAAADwAAAAAA&#10;AAAAAAAAAAAHAgAAZHJzL2Rvd25yZXYueG1sUEsFBgAAAAADAAMAtwAAAPQCAAAAAA==&#10;" strokeweight=".66147mm">
                              <v:stroke joinstyle="miter"/>
                            </v:line>
                          </v:group>
                        </w:pict>
                      </mc:Fallback>
                    </mc:AlternateContent>
                  </w:r>
                </w:p>
                <w:p w14:paraId="54FF6464" w14:textId="77777777" w:rsidR="008F265F" w:rsidRDefault="00A542E4">
                  <w:pPr>
                    <w:spacing w:line="280" w:lineRule="exact"/>
                    <w:ind w:firstLineChars="100" w:firstLine="211"/>
                    <w:rPr>
                      <w:rFonts w:ascii="宋体" w:eastAsia="仿宋_GB2312" w:hAnsi="宋体"/>
                      <w:b/>
                    </w:rPr>
                  </w:pPr>
                  <w:r>
                    <w:rPr>
                      <w:rFonts w:ascii="宋体" w:eastAsia="仿宋_GB2312" w:hAnsi="宋体" w:hint="eastAsia"/>
                      <w:b/>
                    </w:rPr>
                    <w:t>¥</w:t>
                  </w:r>
                </w:p>
              </w:tc>
              <w:tc>
                <w:tcPr>
                  <w:tcW w:w="1990" w:type="dxa"/>
                  <w:tcBorders>
                    <w:bottom w:val="single" w:sz="4" w:space="0" w:color="auto"/>
                    <w:right w:val="nil"/>
                  </w:tcBorders>
                  <w:vAlign w:val="center"/>
                </w:tcPr>
                <w:p w14:paraId="64BB2D16" w14:textId="77777777" w:rsidR="008F265F" w:rsidRDefault="00A542E4">
                  <w:pPr>
                    <w:spacing w:line="280" w:lineRule="exact"/>
                    <w:rPr>
                      <w:rFonts w:ascii="宋体" w:eastAsia="仿宋_GB2312" w:hAnsi="宋体"/>
                      <w:b/>
                    </w:rPr>
                  </w:pPr>
                  <w:r>
                    <w:rPr>
                      <w:rFonts w:ascii="宋体" w:eastAsia="仿宋_GB2312" w:hAnsi="宋体"/>
                      <w:b/>
                    </w:rPr>
                    <w:t>第四章</w:t>
                  </w:r>
                </w:p>
                <w:p w14:paraId="7BBDA03F" w14:textId="77777777" w:rsidR="008F265F" w:rsidRDefault="00A542E4">
                  <w:pPr>
                    <w:spacing w:line="280" w:lineRule="exact"/>
                    <w:rPr>
                      <w:rFonts w:ascii="宋体" w:eastAsia="仿宋_GB2312" w:hAnsi="宋体"/>
                    </w:rPr>
                  </w:pPr>
                  <w:r>
                    <w:rPr>
                      <w:rFonts w:ascii="宋体" w:eastAsia="仿宋_GB2312" w:hAnsi="宋体" w:hint="eastAsia"/>
                      <w:b/>
                    </w:rPr>
                    <w:t>如何</w:t>
                  </w:r>
                  <w:r>
                    <w:rPr>
                      <w:rFonts w:ascii="宋体" w:eastAsia="仿宋_GB2312" w:hAnsi="宋体"/>
                      <w:b/>
                    </w:rPr>
                    <w:t>领取保险金</w:t>
                  </w:r>
                </w:p>
              </w:tc>
              <w:tc>
                <w:tcPr>
                  <w:tcW w:w="6657" w:type="dxa"/>
                  <w:tcBorders>
                    <w:left w:val="nil"/>
                    <w:bottom w:val="single" w:sz="4" w:space="0" w:color="auto"/>
                  </w:tcBorders>
                </w:tcPr>
                <w:p w14:paraId="34B9895F"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w:t>
                  </w:r>
                  <w:r>
                    <w:rPr>
                      <w:rFonts w:ascii="宋体" w:eastAsia="仿宋_GB2312" w:hAnsi="宋体"/>
                    </w:rPr>
                    <w:t>条</w:t>
                  </w:r>
                  <w:r>
                    <w:rPr>
                      <w:rFonts w:ascii="宋体" w:eastAsia="仿宋_GB2312" w:hAnsi="宋体"/>
                    </w:rPr>
                    <w:t xml:space="preserve">  </w:t>
                  </w:r>
                  <w:r>
                    <w:rPr>
                      <w:rFonts w:ascii="宋体" w:eastAsia="仿宋_GB2312" w:hAnsi="宋体" w:hint="eastAsia"/>
                    </w:rPr>
                    <w:t>受益人</w:t>
                  </w:r>
                </w:p>
                <w:p w14:paraId="4CD7DE59"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十一</w:t>
                  </w:r>
                  <w:r>
                    <w:rPr>
                      <w:rFonts w:ascii="宋体" w:eastAsia="仿宋_GB2312" w:hAnsi="宋体"/>
                    </w:rPr>
                    <w:t>条</w:t>
                  </w:r>
                  <w:r>
                    <w:rPr>
                      <w:rFonts w:ascii="宋体" w:eastAsia="仿宋_GB2312" w:hAnsi="宋体"/>
                    </w:rPr>
                    <w:t xml:space="preserve">  </w:t>
                  </w:r>
                  <w:r>
                    <w:rPr>
                      <w:rFonts w:ascii="宋体" w:eastAsia="仿宋_GB2312" w:hAnsi="宋体" w:hint="eastAsia"/>
                    </w:rPr>
                    <w:t>保险事故通知</w:t>
                  </w:r>
                </w:p>
                <w:p w14:paraId="1079D833" w14:textId="77777777" w:rsidR="008F265F" w:rsidRDefault="00A542E4">
                  <w:pPr>
                    <w:spacing w:line="280" w:lineRule="exact"/>
                    <w:rPr>
                      <w:rFonts w:ascii="宋体" w:eastAsia="仿宋_GB2312" w:hAnsi="宋体"/>
                    </w:rPr>
                  </w:pPr>
                  <w:r>
                    <w:rPr>
                      <w:rFonts w:ascii="宋体" w:eastAsia="仿宋_GB2312" w:hAnsi="宋体"/>
                    </w:rPr>
                    <w:t>第十</w:t>
                  </w:r>
                  <w:r>
                    <w:rPr>
                      <w:rFonts w:ascii="宋体" w:eastAsia="仿宋_GB2312" w:hAnsi="宋体" w:hint="eastAsia"/>
                    </w:rPr>
                    <w:t>二</w:t>
                  </w:r>
                  <w:r>
                    <w:rPr>
                      <w:rFonts w:ascii="宋体" w:eastAsia="仿宋_GB2312" w:hAnsi="宋体"/>
                    </w:rPr>
                    <w:t>条</w:t>
                  </w:r>
                  <w:r>
                    <w:rPr>
                      <w:rFonts w:ascii="宋体" w:eastAsia="仿宋_GB2312" w:hAnsi="宋体"/>
                    </w:rPr>
                    <w:t xml:space="preserve">  </w:t>
                  </w:r>
                  <w:r>
                    <w:rPr>
                      <w:rFonts w:ascii="宋体" w:eastAsia="仿宋_GB2312" w:hAnsi="宋体" w:hint="eastAsia"/>
                    </w:rPr>
                    <w:t>保险金</w:t>
                  </w:r>
                  <w:r>
                    <w:rPr>
                      <w:rFonts w:ascii="宋体" w:eastAsia="仿宋_GB2312" w:hAnsi="宋体"/>
                    </w:rPr>
                    <w:t>申请</w:t>
                  </w:r>
                </w:p>
                <w:p w14:paraId="2D67C42A" w14:textId="77777777" w:rsidR="008F265F" w:rsidRDefault="00A542E4">
                  <w:pPr>
                    <w:spacing w:line="280" w:lineRule="exact"/>
                    <w:rPr>
                      <w:rFonts w:ascii="宋体" w:eastAsia="仿宋_GB2312" w:hAnsi="宋体"/>
                    </w:rPr>
                  </w:pPr>
                  <w:r>
                    <w:rPr>
                      <w:rFonts w:ascii="宋体" w:eastAsia="仿宋_GB2312" w:hAnsi="宋体"/>
                    </w:rPr>
                    <w:t>第十</w:t>
                  </w:r>
                  <w:r>
                    <w:rPr>
                      <w:rFonts w:ascii="宋体" w:eastAsia="仿宋_GB2312" w:hAnsi="宋体" w:hint="eastAsia"/>
                    </w:rPr>
                    <w:t>三</w:t>
                  </w:r>
                  <w:r>
                    <w:rPr>
                      <w:rFonts w:ascii="宋体" w:eastAsia="仿宋_GB2312" w:hAnsi="宋体"/>
                    </w:rPr>
                    <w:t>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保险金</w:t>
                  </w:r>
                  <w:r>
                    <w:rPr>
                      <w:rFonts w:ascii="宋体" w:eastAsia="仿宋_GB2312" w:hAnsi="宋体"/>
                    </w:rPr>
                    <w:t>给付</w:t>
                  </w:r>
                </w:p>
                <w:p w14:paraId="00DD5C79" w14:textId="77777777" w:rsidR="008F265F" w:rsidRDefault="00A542E4">
                  <w:pPr>
                    <w:spacing w:line="280" w:lineRule="exact"/>
                    <w:rPr>
                      <w:rFonts w:ascii="宋体" w:eastAsia="仿宋_GB2312" w:hAnsi="宋体"/>
                    </w:rPr>
                  </w:pPr>
                  <w:r>
                    <w:rPr>
                      <w:rFonts w:ascii="宋体" w:eastAsia="仿宋_GB2312" w:hAnsi="宋体"/>
                    </w:rPr>
                    <w:t>第十四条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宣告死亡处理</w:t>
                  </w:r>
                </w:p>
              </w:tc>
            </w:tr>
            <w:tr w:rsidR="008F265F" w14:paraId="41C2D949" w14:textId="77777777">
              <w:trPr>
                <w:trHeight w:hRule="exact" w:val="340"/>
              </w:trPr>
              <w:tc>
                <w:tcPr>
                  <w:tcW w:w="1006" w:type="dxa"/>
                  <w:tcBorders>
                    <w:top w:val="nil"/>
                    <w:left w:val="nil"/>
                    <w:bottom w:val="nil"/>
                    <w:right w:val="nil"/>
                  </w:tcBorders>
                  <w:vAlign w:val="center"/>
                </w:tcPr>
                <w:p w14:paraId="476E9395" w14:textId="77777777" w:rsidR="008F265F" w:rsidRDefault="008F265F">
                  <w:pPr>
                    <w:spacing w:line="280" w:lineRule="exact"/>
                    <w:rPr>
                      <w:rFonts w:ascii="宋体" w:eastAsia="仿宋_GB2312" w:hAnsi="宋体"/>
                      <w:b/>
                    </w:rPr>
                  </w:pPr>
                </w:p>
              </w:tc>
              <w:tc>
                <w:tcPr>
                  <w:tcW w:w="1990" w:type="dxa"/>
                  <w:tcBorders>
                    <w:left w:val="nil"/>
                    <w:right w:val="nil"/>
                  </w:tcBorders>
                  <w:vAlign w:val="center"/>
                </w:tcPr>
                <w:p w14:paraId="7820A5AD" w14:textId="77777777" w:rsidR="008F265F" w:rsidRDefault="008F265F">
                  <w:pPr>
                    <w:spacing w:line="280" w:lineRule="exact"/>
                    <w:rPr>
                      <w:rFonts w:ascii="宋体" w:eastAsia="仿宋_GB2312" w:hAnsi="宋体"/>
                      <w:b/>
                    </w:rPr>
                  </w:pPr>
                </w:p>
              </w:tc>
              <w:tc>
                <w:tcPr>
                  <w:tcW w:w="6657" w:type="dxa"/>
                  <w:tcBorders>
                    <w:left w:val="nil"/>
                    <w:right w:val="nil"/>
                  </w:tcBorders>
                  <w:vAlign w:val="center"/>
                </w:tcPr>
                <w:p w14:paraId="1780C2EE" w14:textId="77777777" w:rsidR="008F265F" w:rsidRDefault="008F265F">
                  <w:pPr>
                    <w:spacing w:line="280" w:lineRule="exact"/>
                    <w:rPr>
                      <w:rFonts w:ascii="宋体" w:eastAsia="仿宋_GB2312" w:hAnsi="宋体"/>
                    </w:rPr>
                  </w:pPr>
                </w:p>
              </w:tc>
            </w:tr>
            <w:tr w:rsidR="008F265F" w14:paraId="1549F415" w14:textId="77777777">
              <w:trPr>
                <w:trHeight w:val="340"/>
              </w:trPr>
              <w:tc>
                <w:tcPr>
                  <w:tcW w:w="1006" w:type="dxa"/>
                  <w:tcBorders>
                    <w:top w:val="nil"/>
                    <w:left w:val="nil"/>
                    <w:bottom w:val="nil"/>
                  </w:tcBorders>
                </w:tcPr>
                <w:p w14:paraId="6B16A187" w14:textId="77777777" w:rsidR="008F265F" w:rsidRDefault="00A542E4">
                  <w:pPr>
                    <w:spacing w:line="280" w:lineRule="exact"/>
                    <w:rPr>
                      <w:rFonts w:ascii="宋体" w:eastAsia="仿宋_GB2312" w:hAnsi="宋体"/>
                      <w:b/>
                    </w:rPr>
                  </w:pPr>
                  <w:r>
                    <w:rPr>
                      <w:rFonts w:ascii="宋体" w:eastAsia="仿宋_GB2312" w:hAnsi="宋体"/>
                      <w:b/>
                      <w:noProof/>
                    </w:rPr>
                    <mc:AlternateContent>
                      <mc:Choice Requires="wpg">
                        <w:drawing>
                          <wp:anchor distT="0" distB="0" distL="114300" distR="114300" simplePos="0" relativeHeight="251664384" behindDoc="0" locked="0" layoutInCell="1" allowOverlap="1" wp14:anchorId="56FB21E0" wp14:editId="7B4F7B9E">
                            <wp:simplePos x="0" y="0"/>
                            <wp:positionH relativeFrom="column">
                              <wp:posOffset>-80010</wp:posOffset>
                            </wp:positionH>
                            <wp:positionV relativeFrom="paragraph">
                              <wp:posOffset>-34290</wp:posOffset>
                            </wp:positionV>
                            <wp:extent cx="511810" cy="412115"/>
                            <wp:effectExtent l="0" t="0" r="22225" b="26670"/>
                            <wp:wrapNone/>
                            <wp:docPr id="133" name="组合 133"/>
                            <wp:cNvGraphicFramePr/>
                            <a:graphic xmlns:a="http://schemas.openxmlformats.org/drawingml/2006/main">
                              <a:graphicData uri="http://schemas.microsoft.com/office/word/2010/wordprocessingGroup">
                                <wpg:wgp>
                                  <wpg:cNvGrpSpPr/>
                                  <wpg:grpSpPr>
                                    <a:xfrm>
                                      <a:off x="0" y="0"/>
                                      <a:ext cx="511496" cy="411956"/>
                                      <a:chOff x="0" y="0"/>
                                      <a:chExt cx="503851" cy="411956"/>
                                    </a:xfrm>
                                  </wpg:grpSpPr>
                                  <wpg:grpSp>
                                    <wpg:cNvPr id="82" name="组合 82"/>
                                    <wpg:cNvGrpSpPr/>
                                    <wpg:grpSpPr>
                                      <a:xfrm>
                                        <a:off x="0" y="250666"/>
                                        <a:ext cx="384810" cy="161290"/>
                                        <a:chOff x="0" y="0"/>
                                        <a:chExt cx="523875" cy="379413"/>
                                      </a:xfrm>
                                    </wpg:grpSpPr>
                                    <wps:wsp>
                                      <wps:cNvPr id="218" name="Line 164"/>
                                      <wps:cNvCnPr/>
                                      <wps:spPr bwMode="auto">
                                        <a:xfrm flipH="1">
                                          <a:off x="190500" y="0"/>
                                          <a:ext cx="85725" cy="298450"/>
                                        </a:xfrm>
                                        <a:prstGeom prst="line">
                                          <a:avLst/>
                                        </a:prstGeom>
                                        <a:noFill/>
                                        <a:ln w="22225" cap="rnd">
                                          <a:solidFill>
                                            <a:srgbClr val="000000"/>
                                          </a:solidFill>
                                          <a:prstDash val="solid"/>
                                          <a:round/>
                                        </a:ln>
                                      </wps:spPr>
                                      <wps:bodyPr/>
                                    </wps:wsp>
                                    <wps:wsp>
                                      <wps:cNvPr id="219" name="Freeform 165"/>
                                      <wps:cNvSpPr/>
                                      <wps:spPr bwMode="auto">
                                        <a:xfrm>
                                          <a:off x="184150" y="260350"/>
                                          <a:ext cx="115888" cy="119063"/>
                                        </a:xfrm>
                                        <a:custGeom>
                                          <a:avLst/>
                                          <a:gdLst>
                                            <a:gd name="T0" fmla="*/ 3 w 42"/>
                                            <a:gd name="T1" fmla="*/ 16 h 43"/>
                                            <a:gd name="T2" fmla="*/ 15 w 42"/>
                                            <a:gd name="T3" fmla="*/ 40 h 43"/>
                                            <a:gd name="T4" fmla="*/ 39 w 42"/>
                                            <a:gd name="T5" fmla="*/ 27 h 43"/>
                                            <a:gd name="T6" fmla="*/ 26 w 42"/>
                                            <a:gd name="T7" fmla="*/ 3 h 43"/>
                                            <a:gd name="T8" fmla="*/ 3 w 42"/>
                                            <a:gd name="T9" fmla="*/ 16 h 43"/>
                                          </a:gdLst>
                                          <a:ahLst/>
                                          <a:cxnLst>
                                            <a:cxn ang="0">
                                              <a:pos x="T0" y="T1"/>
                                            </a:cxn>
                                            <a:cxn ang="0">
                                              <a:pos x="T2" y="T3"/>
                                            </a:cxn>
                                            <a:cxn ang="0">
                                              <a:pos x="T4" y="T5"/>
                                            </a:cxn>
                                            <a:cxn ang="0">
                                              <a:pos x="T6" y="T7"/>
                                            </a:cxn>
                                            <a:cxn ang="0">
                                              <a:pos x="T8" y="T9"/>
                                            </a:cxn>
                                          </a:cxnLst>
                                          <a:rect l="0" t="0" r="r" b="b"/>
                                          <a:pathLst>
                                            <a:path w="42" h="43">
                                              <a:moveTo>
                                                <a:pt x="3" y="16"/>
                                              </a:moveTo>
                                              <a:cubicBezTo>
                                                <a:pt x="0" y="26"/>
                                                <a:pt x="5" y="37"/>
                                                <a:pt x="15" y="40"/>
                                              </a:cubicBezTo>
                                              <a:cubicBezTo>
                                                <a:pt x="25" y="43"/>
                                                <a:pt x="36" y="37"/>
                                                <a:pt x="39" y="27"/>
                                              </a:cubicBezTo>
                                              <a:cubicBezTo>
                                                <a:pt x="42" y="17"/>
                                                <a:pt x="36" y="6"/>
                                                <a:pt x="26" y="3"/>
                                              </a:cubicBezTo>
                                              <a:cubicBezTo>
                                                <a:pt x="16" y="0"/>
                                                <a:pt x="6" y="6"/>
                                                <a:pt x="3" y="16"/>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220" name="Line 166"/>
                                      <wps:cNvCnPr/>
                                      <wps:spPr bwMode="auto">
                                        <a:xfrm flipH="1">
                                          <a:off x="76200" y="57150"/>
                                          <a:ext cx="447675" cy="130175"/>
                                        </a:xfrm>
                                        <a:prstGeom prst="line">
                                          <a:avLst/>
                                        </a:prstGeom>
                                        <a:noFill/>
                                        <a:ln w="22225" cap="rnd">
                                          <a:solidFill>
                                            <a:srgbClr val="000000"/>
                                          </a:solidFill>
                                          <a:prstDash val="solid"/>
                                          <a:round/>
                                        </a:ln>
                                      </wps:spPr>
                                      <wps:bodyPr/>
                                    </wps:wsp>
                                    <wps:wsp>
                                      <wps:cNvPr id="221" name="Freeform 167"/>
                                      <wps:cNvSpPr/>
                                      <wps:spPr bwMode="auto">
                                        <a:xfrm>
                                          <a:off x="0" y="76200"/>
                                          <a:ext cx="115888" cy="115888"/>
                                        </a:xfrm>
                                        <a:custGeom>
                                          <a:avLst/>
                                          <a:gdLst>
                                            <a:gd name="T0" fmla="*/ 27 w 42"/>
                                            <a:gd name="T1" fmla="*/ 39 h 42"/>
                                            <a:gd name="T2" fmla="*/ 3 w 42"/>
                                            <a:gd name="T3" fmla="*/ 26 h 42"/>
                                            <a:gd name="T4" fmla="*/ 16 w 42"/>
                                            <a:gd name="T5" fmla="*/ 3 h 42"/>
                                            <a:gd name="T6" fmla="*/ 39 w 42"/>
                                            <a:gd name="T7" fmla="*/ 16 h 42"/>
                                            <a:gd name="T8" fmla="*/ 27 w 42"/>
                                            <a:gd name="T9" fmla="*/ 39 h 42"/>
                                          </a:gdLst>
                                          <a:ahLst/>
                                          <a:cxnLst>
                                            <a:cxn ang="0">
                                              <a:pos x="T0" y="T1"/>
                                            </a:cxn>
                                            <a:cxn ang="0">
                                              <a:pos x="T2" y="T3"/>
                                            </a:cxn>
                                            <a:cxn ang="0">
                                              <a:pos x="T4" y="T5"/>
                                            </a:cxn>
                                            <a:cxn ang="0">
                                              <a:pos x="T6" y="T7"/>
                                            </a:cxn>
                                            <a:cxn ang="0">
                                              <a:pos x="T8" y="T9"/>
                                            </a:cxn>
                                          </a:cxnLst>
                                          <a:rect l="0" t="0" r="r" b="b"/>
                                          <a:pathLst>
                                            <a:path w="42" h="42">
                                              <a:moveTo>
                                                <a:pt x="27" y="39"/>
                                              </a:moveTo>
                                              <a:cubicBezTo>
                                                <a:pt x="17" y="42"/>
                                                <a:pt x="6" y="36"/>
                                                <a:pt x="3" y="26"/>
                                              </a:cubicBezTo>
                                              <a:cubicBezTo>
                                                <a:pt x="0" y="16"/>
                                                <a:pt x="6" y="6"/>
                                                <a:pt x="16" y="3"/>
                                              </a:cubicBezTo>
                                              <a:cubicBezTo>
                                                <a:pt x="26" y="0"/>
                                                <a:pt x="36" y="6"/>
                                                <a:pt x="39" y="16"/>
                                              </a:cubicBezTo>
                                              <a:cubicBezTo>
                                                <a:pt x="42" y="26"/>
                                                <a:pt x="37" y="36"/>
                                                <a:pt x="27" y="39"/>
                                              </a:cubicBezTo>
                                              <a:close/>
                                            </a:path>
                                          </a:pathLst>
                                        </a:custGeom>
                                        <a:noFill/>
                                        <a:ln w="22225" cap="rnd">
                                          <a:solidFill>
                                            <a:srgbClr val="000000"/>
                                          </a:solidFill>
                                          <a:prstDash val="solid"/>
                                          <a:round/>
                                        </a:ln>
                                      </wps:spPr>
                                      <wps:bodyPr vert="horz" wrap="square" lIns="91440" tIns="45720" rIns="91440" bIns="45720" numCol="1" anchor="t" anchorCtr="0" compatLnSpc="1"/>
                                    </wps:wsp>
                                  </wpg:grpSp>
                                  <wpg:grpSp>
                                    <wpg:cNvPr id="92" name="组合 92"/>
                                    <wpg:cNvGrpSpPr/>
                                    <wpg:grpSpPr>
                                      <a:xfrm>
                                        <a:off x="211830" y="0"/>
                                        <a:ext cx="292021" cy="390849"/>
                                        <a:chOff x="0" y="0"/>
                                        <a:chExt cx="387350" cy="552450"/>
                                      </a:xfrm>
                                    </wpg:grpSpPr>
                                    <wps:wsp>
                                      <wps:cNvPr id="84" name="Freeform 121"/>
                                      <wps:cNvSpPr/>
                                      <wps:spPr bwMode="auto">
                                        <a:xfrm>
                                          <a:off x="0" y="0"/>
                                          <a:ext cx="387350" cy="552450"/>
                                        </a:xfrm>
                                        <a:custGeom>
                                          <a:avLst/>
                                          <a:gdLst>
                                            <a:gd name="T0" fmla="*/ 127 w 135"/>
                                            <a:gd name="T1" fmla="*/ 0 h 192"/>
                                            <a:gd name="T2" fmla="*/ 135 w 135"/>
                                            <a:gd name="T3" fmla="*/ 8 h 192"/>
                                            <a:gd name="T4" fmla="*/ 135 w 135"/>
                                            <a:gd name="T5" fmla="*/ 184 h 192"/>
                                            <a:gd name="T6" fmla="*/ 127 w 135"/>
                                            <a:gd name="T7" fmla="*/ 192 h 192"/>
                                            <a:gd name="T8" fmla="*/ 8 w 135"/>
                                            <a:gd name="T9" fmla="*/ 192 h 192"/>
                                            <a:gd name="T10" fmla="*/ 0 w 135"/>
                                            <a:gd name="T11" fmla="*/ 184 h 192"/>
                                            <a:gd name="T12" fmla="*/ 0 w 135"/>
                                            <a:gd name="T13" fmla="*/ 8 h 192"/>
                                            <a:gd name="T14" fmla="*/ 8 w 135"/>
                                            <a:gd name="T15" fmla="*/ 0 h 192"/>
                                            <a:gd name="T16" fmla="*/ 127 w 135"/>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92">
                                              <a:moveTo>
                                                <a:pt x="127" y="0"/>
                                              </a:moveTo>
                                              <a:cubicBezTo>
                                                <a:pt x="132" y="0"/>
                                                <a:pt x="135" y="3"/>
                                                <a:pt x="135" y="8"/>
                                              </a:cubicBezTo>
                                              <a:cubicBezTo>
                                                <a:pt x="135" y="184"/>
                                                <a:pt x="135" y="184"/>
                                                <a:pt x="135" y="184"/>
                                              </a:cubicBezTo>
                                              <a:cubicBezTo>
                                                <a:pt x="135" y="188"/>
                                                <a:pt x="132" y="192"/>
                                                <a:pt x="127" y="192"/>
                                              </a:cubicBezTo>
                                              <a:cubicBezTo>
                                                <a:pt x="8" y="192"/>
                                                <a:pt x="8" y="192"/>
                                                <a:pt x="8" y="192"/>
                                              </a:cubicBezTo>
                                              <a:cubicBezTo>
                                                <a:pt x="3" y="192"/>
                                                <a:pt x="0" y="188"/>
                                                <a:pt x="0" y="184"/>
                                              </a:cubicBezTo>
                                              <a:cubicBezTo>
                                                <a:pt x="0" y="8"/>
                                                <a:pt x="0" y="8"/>
                                                <a:pt x="0" y="8"/>
                                              </a:cubicBezTo>
                                              <a:cubicBezTo>
                                                <a:pt x="0" y="3"/>
                                                <a:pt x="3" y="0"/>
                                                <a:pt x="8" y="0"/>
                                              </a:cubicBezTo>
                                              <a:lnTo>
                                                <a:pt x="127" y="0"/>
                                              </a:lnTo>
                                              <a:close/>
                                            </a:path>
                                          </a:pathLst>
                                        </a:custGeom>
                                        <a:noFill/>
                                        <a:ln w="22225" cap="rnd">
                                          <a:solidFill>
                                            <a:srgbClr val="000000"/>
                                          </a:solidFill>
                                          <a:prstDash val="solid"/>
                                          <a:round/>
                                        </a:ln>
                                      </wps:spPr>
                                      <wps:bodyPr vert="horz" wrap="square" lIns="91440" tIns="45720" rIns="91440" bIns="45720" numCol="1" anchor="t" anchorCtr="0" compatLnSpc="1"/>
                                    </wps:wsp>
                                    <wps:wsp>
                                      <wps:cNvPr id="85" name="Line 122"/>
                                      <wps:cNvCnPr/>
                                      <wps:spPr bwMode="auto">
                                        <a:xfrm>
                                          <a:off x="69850" y="133350"/>
                                          <a:ext cx="20638" cy="0"/>
                                        </a:xfrm>
                                        <a:prstGeom prst="line">
                                          <a:avLst/>
                                        </a:prstGeom>
                                        <a:noFill/>
                                        <a:ln w="22225" cap="rnd">
                                          <a:solidFill>
                                            <a:srgbClr val="000000"/>
                                          </a:solidFill>
                                          <a:prstDash val="solid"/>
                                          <a:round/>
                                        </a:ln>
                                      </wps:spPr>
                                      <wps:bodyPr/>
                                    </wps:wsp>
                                    <wps:wsp>
                                      <wps:cNvPr id="86" name="Line 123"/>
                                      <wps:cNvCnPr/>
                                      <wps:spPr bwMode="auto">
                                        <a:xfrm>
                                          <a:off x="146050" y="133350"/>
                                          <a:ext cx="166688" cy="0"/>
                                        </a:xfrm>
                                        <a:prstGeom prst="line">
                                          <a:avLst/>
                                        </a:prstGeom>
                                        <a:noFill/>
                                        <a:ln w="22225" cap="rnd">
                                          <a:solidFill>
                                            <a:srgbClr val="000000"/>
                                          </a:solidFill>
                                          <a:prstDash val="solid"/>
                                          <a:round/>
                                        </a:ln>
                                      </wps:spPr>
                                      <wps:bodyPr/>
                                    </wps:wsp>
                                    <wps:wsp>
                                      <wps:cNvPr id="87" name="Line 124"/>
                                      <wps:cNvCnPr/>
                                      <wps:spPr bwMode="auto">
                                        <a:xfrm>
                                          <a:off x="69850" y="228600"/>
                                          <a:ext cx="20638" cy="0"/>
                                        </a:xfrm>
                                        <a:prstGeom prst="line">
                                          <a:avLst/>
                                        </a:prstGeom>
                                        <a:noFill/>
                                        <a:ln w="22225" cap="rnd">
                                          <a:solidFill>
                                            <a:srgbClr val="000000"/>
                                          </a:solidFill>
                                          <a:prstDash val="solid"/>
                                          <a:round/>
                                        </a:ln>
                                      </wps:spPr>
                                      <wps:bodyPr/>
                                    </wps:wsp>
                                    <wps:wsp>
                                      <wps:cNvPr id="89" name="Line 125"/>
                                      <wps:cNvCnPr/>
                                      <wps:spPr bwMode="auto">
                                        <a:xfrm>
                                          <a:off x="146050" y="228600"/>
                                          <a:ext cx="166688" cy="0"/>
                                        </a:xfrm>
                                        <a:prstGeom prst="line">
                                          <a:avLst/>
                                        </a:prstGeom>
                                        <a:noFill/>
                                        <a:ln w="22225" cap="rnd">
                                          <a:solidFill>
                                            <a:srgbClr val="000000"/>
                                          </a:solidFill>
                                          <a:prstDash val="solid"/>
                                          <a:round/>
                                        </a:ln>
                                      </wps:spPr>
                                      <wps:bodyPr/>
                                    </wps:wsp>
                                    <wps:wsp>
                                      <wps:cNvPr id="90" name="Line 126"/>
                                      <wps:cNvCnPr/>
                                      <wps:spPr bwMode="auto">
                                        <a:xfrm>
                                          <a:off x="69850" y="323850"/>
                                          <a:ext cx="20638" cy="0"/>
                                        </a:xfrm>
                                        <a:prstGeom prst="line">
                                          <a:avLst/>
                                        </a:prstGeom>
                                        <a:noFill/>
                                        <a:ln w="22225" cap="rnd">
                                          <a:solidFill>
                                            <a:srgbClr val="000000"/>
                                          </a:solidFill>
                                          <a:prstDash val="solid"/>
                                          <a:round/>
                                        </a:ln>
                                      </wps:spPr>
                                      <wps:bodyPr/>
                                    </wps:wsp>
                                    <wps:wsp>
                                      <wps:cNvPr id="91" name="Line 127"/>
                                      <wps:cNvCnPr/>
                                      <wps:spPr bwMode="auto">
                                        <a:xfrm>
                                          <a:off x="146050" y="323850"/>
                                          <a:ext cx="166688" cy="0"/>
                                        </a:xfrm>
                                        <a:prstGeom prst="line">
                                          <a:avLst/>
                                        </a:prstGeom>
                                        <a:noFill/>
                                        <a:ln w="22225" cap="rnd">
                                          <a:solidFill>
                                            <a:srgbClr val="000000"/>
                                          </a:solidFill>
                                          <a:prstDash val="solid"/>
                                          <a:round/>
                                        </a:ln>
                                      </wps:spPr>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52AEB79" id="组合 133" o:spid="_x0000_s1026" style="position:absolute;left:0;text-align:left;margin-left:-6.3pt;margin-top:-2.7pt;width:40.3pt;height:32.45pt;z-index:251664384" coordsize="503851,4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p7owcAAHwpAAAOAAAAZHJzL2Uyb0RvYy54bWzsWsFu20YQvRfoPxA8FqilJSmKFCIHqNOk&#10;BdI2QNwPoCnKEkCRLElbTs499Nj/6fcU/Y2+md2ldiXKkhw3KBDl4IjL4ezsm5mdx1m+ePmwyp37&#10;rG6WZTF1xcXQdbIiLWfL4nbq/nr9+tvIdZo2KWZJXhbZ1P2QNe7Ly6+/erGuJplXLsp8ltUOlBTN&#10;ZF1N3UXbVpPBoEkX2SppLsoqK3BzXtarpMVlfTuY1cka2lf5wBsOw8G6rGdVXaZZ02D0lbzpXrL+&#10;+TxL21/m8yZrnXzqwraW/9b894b+Di5fJJPbOqkWy1SZkTzBilWyLDBpp+pV0ibOXb3cUbVapnXZ&#10;lPP2Ii1Xg3I+X6YZrwGrEcOt1bypy7uK13I7Wd9WHUyAdgunJ6tNf75/U1fvq3c1kFhXt8CCr2gt&#10;D/N6Rf/DSueBIfvQQZY9tE6KwZEQQRy6TopbgRDxKJSQpgvgvvNUuvhePzf0o5HYfm6gJx1YpnQX&#10;0kTY/K52lrOpG3muUyQrxNU/f/3+959/OBhQ6zh5Yd5oGIbKer06PwoigbCh1YlQeLEKmIOr8/xo&#10;PJLP+eM4ED6ZtXd1CP1m493m07z7fpFUGQdNM9kg5QkkooTq7bLIHBEGEikWuiqU/5tJg1BwbtY/&#10;lTOgmty1JYc1hYIzz5fVDwCCR1RQiHg4GgKh3ciIRmNPQeDFUTBi6DoIkklVN+2brFw59GPq5rCK&#10;FSf3b5tWoqVFKAiL8vUyzzGeTPLCWU9dD/9If4Jdoy5m/GxT5ssZyZFYU9/eXOW1c59Q7vM/5QVL&#10;jCZ5lTQLKce3SCyZIPmKmTQkL+C9dSXRoSBsJjfl7AODxuPwnxz+DI6MtSNf11lGOyOcOTKc2SXz&#10;Y86kBWoXRoGAd8iFXjj0paOSic4BIUZRhODhHIC7QzuWk0l6Jx1JKrXzsBHO4EYaup2puLvGHPNV&#10;ju31m4HjO2sn4GQ1JbAhdBIidBZOwJOZIsj4jcioV4tviATDXi2BIeLHvVoQW91E3rhXC/a9jUjY&#10;q2VsiPi9SgBtp6QfFTi8kzBQQS51ICcLmTTwxkOhgMcvJ6EyPOTcqMqG9mPyAjx9LVQuQIq8tEcY&#10;aJOwdvnjwgCVhDkWYdzjwsCOhMdHmQGMSDg2heUMaq01Cv12ia9dByX+hp7BbpO0BJH+SRsIws9Z&#10;4D+f4VmV99l1yfdbwglBhCkFFwRMtbmd3t0s0++yj6awzh41FytA/ECBzwvE/Dwm5GCg90Jbl30l&#10;n6AtDmp0HshBX4Jn6/YRJpD0OkQtO/t0EwC0RstEpVsVQmWEmk/Df1AzYCPNqlpKJXLI0ruFsW1j&#10;mpdNJrdfch6Xz86L5Hxj2/l/Fgfixahsi7L+6DprcMyp2/x2l9SZ6+Q/FijzsQgQCk7LFwHqJS5q&#10;886Neae4W12VKGXYJJMihdap2+qfV63ktCCVwOht8b5KSZDgo2L1GcsTrcHiGexxMgJk5Ok8YxyC&#10;7XNQjcZUrTipdYkKgnGo6ZbwhwK/ZeBoBquJxJlr4G2p701jD2n0EGvSmQbX4O1COfRUriFdKJ1p&#10;udBmGcw4bBea6X40y0DdPkQzUP1BM3aYCLbGrub2V2WTZXjMVXaUmCwDhbvPFGzvxjx9lmDf3Ej0&#10;UxWTZEiCsGOKyTL2oGLSDAMVbLVnmvEMNMPrpRko11QpUbxluD/OM1CqSVqHq1lYUbc5oRRDYDmP&#10;x7hWmpzFrrPyAZmYku5ottJTsVVh7/jgQSYAE3aYQB/FUOyl41u2jfaVtFixF7lGbTIoEcNpgbGN&#10;sa3tzDPAk5+TZ2x6N0ZHabtzE2ODtTo3GED8UqfnhM6NJ0Tky9DdogRe7A2petFbqx8Po4ATDKzx&#10;QF8KfRt6A+bnRiNvu22xWdu7+jO98EeoIts1GCtjsJhUPa0Gb+F1YN023T66/gouNcJnPma+xZsv&#10;+vSGLqT7TRGzAkMDqmePHrMIR/16rCK8T49ZhkUU9GsyK/HelVm1OPb6NZnVOOpfmVmNgU6/HupN&#10;duRg2K9ImFjvXZsw4d6n6Qi0hQn3nqXRW7Bhda/3qdB0MnvBFibaRhx94ZyFey99vR+KF2yI14gJ&#10;STce79FQULB4V+8fbRaR71lcv34d0C6pwTWcaBhDbKVrYT2lrUO7BPV1aEuhds6GUUnegGBiM3kD&#10;xGyb+zYvUNK+xEBtl3oQU1BhIcM19eB5MRjp1RzkRvoJJGWfoseHj2J1mxnYqo2pclHdrmsjo4aP&#10;mkF25rYUHR48SrdqD+nSII2UESzQkTaw14OM41G65RM9SvYNnaDVCgu5CCt8JDw6/uyoywuzr7gd&#10;q/rumbM+M2dVTbLuhPU/OYOLsGuYrTFPUd7jW2O026hTmzCO1KGN8P2dQxsPxzQIM2K/Os7OvbAj&#10;T937e2ERqpXlPM7yU/qahvNEEOLYlGtIn/cEDqL1kdvZfc3FSV837HEfir7lvpOPvw33bXLP86IQ&#10;fWkuRbobfc496xOe53AeXoYs5zHB/PTc6/PeOffsL7CewX34asZ238lHQr255+Mjm+2ToHPuPXfu&#10;xd0RkPxuSJ4vf3ru9Xnvy8q9TS+RT2n5Ez8+5VafI9I3hOY1S20+mrz8FwAA//8DAFBLAwQUAAYA&#10;CAAAACEAF19gt98AAAAIAQAADwAAAGRycy9kb3ducmV2LnhtbEyPwUrDQBCG74LvsIzgrd2kmtDG&#10;bEop6qkItoL0ts1Ok9DsbMhuk/TtHU96m2E+/vn+fD3ZVgzY+8aRgngegUAqnWmoUvB1eJstQfig&#10;yejWESq4oYd1cX+X68y4kT5x2IdKcAj5TCuoQ+gyKX1Zo9V+7jokvp1db3Xgta+k6fXI4baViyhK&#10;pdUN8Ydad7itsbzsr1bB+6jHzVP8Ouwu5+3teEg+vncxKvX4MG1eQAScwh8Mv/qsDgU7ndyVjBet&#10;glm8SBnlIXkGwUC65G4nBckqAVnk8n+B4gcAAP//AwBQSwECLQAUAAYACAAAACEAtoM4kv4AAADh&#10;AQAAEwAAAAAAAAAAAAAAAAAAAAAAW0NvbnRlbnRfVHlwZXNdLnhtbFBLAQItABQABgAIAAAAIQA4&#10;/SH/1gAAAJQBAAALAAAAAAAAAAAAAAAAAC8BAABfcmVscy8ucmVsc1BLAQItABQABgAIAAAAIQAB&#10;LVp7owcAAHwpAAAOAAAAAAAAAAAAAAAAAC4CAABkcnMvZTJvRG9jLnhtbFBLAQItABQABgAIAAAA&#10;IQAXX2C33wAAAAgBAAAPAAAAAAAAAAAAAAAAAP0JAABkcnMvZG93bnJldi54bWxQSwUGAAAAAAQA&#10;BADzAAAACQsAAAAA&#10;">
                            <v:group id="组合 82" o:spid="_x0000_s1027" style="position:absolute;top:250666;width:384810;height:161290" coordsize="523875,3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164" o:spid="_x0000_s1028" style="position:absolute;flip:x;visibility:visible;mso-wrap-style:square" from="190500,0" to="276225,29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VCxgAAANwAAAAPAAAAZHJzL2Rvd25yZXYueG1sRI9Nb8Iw&#10;DIbvk/gPkSftMkEKh2nqCAhNTGI7jY6vo9WYNqJxuiaD8u/xYRJH6/X7+PF03vtGnamLLrCB8SgD&#10;RVwG67gysPn5GL6CignZYhOYDFwpwnw2eJhibsOF13QuUqUEwjFHA3VKba51LGvyGEehJZbsGDqP&#10;Scau0rbDi8B9oydZ9qI9OpYLNbb0XlN5Kv68aHy65e93cf1aPW83+63b+TYcdsY8PfaLN1CJ+nRf&#10;/m+vrIHJWGzlGSGAnt0AAAD//wMAUEsBAi0AFAAGAAgAAAAhANvh9svuAAAAhQEAABMAAAAAAAAA&#10;AAAAAAAAAAAAAFtDb250ZW50X1R5cGVzXS54bWxQSwECLQAUAAYACAAAACEAWvQsW78AAAAVAQAA&#10;CwAAAAAAAAAAAAAAAAAfAQAAX3JlbHMvLnJlbHNQSwECLQAUAAYACAAAACEApWVlQsYAAADcAAAA&#10;DwAAAAAAAAAAAAAAAAAHAgAAZHJzL2Rvd25yZXYueG1sUEsFBgAAAAADAAMAtwAAAPoCAAAAAA==&#10;" strokeweight="1.75pt">
                                <v:stroke endcap="round"/>
                              </v:line>
                              <v:shape id="Freeform 165" o:spid="_x0000_s1029" style="position:absolute;left:184150;top:260350;width:115888;height:119063;visibility:visible;mso-wrap-style:square;v-text-anchor:top" coordsize="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9/xwAAANwAAAAPAAAAZHJzL2Rvd25yZXYueG1sRI9Ba8JA&#10;FITvhf6H5RV6q5ukIja6hioULAilpod6e2SfSWj2bchuTPTXuwXB4zAz3zDLbDSNOFHnassK4kkE&#10;griwuuZSwU/+8TIH4TyyxsYyKTiTg2z1+LDEVNuBv+m096UIEHYpKqi8b1MpXVGRQTexLXHwjrYz&#10;6IPsSqk7HALcNDKJopk0WHNYqLClTUXF3743Cnbrw2aczuOLw3z92X+9/ubn41ap56fxfQHC0+jv&#10;4Vt7qxUk8Rv8nwlHQK6uAAAA//8DAFBLAQItABQABgAIAAAAIQDb4fbL7gAAAIUBAAATAAAAAAAA&#10;AAAAAAAAAAAAAABbQ29udGVudF9UeXBlc10ueG1sUEsBAi0AFAAGAAgAAAAhAFr0LFu/AAAAFQEA&#10;AAsAAAAAAAAAAAAAAAAAHwEAAF9yZWxzLy5yZWxzUEsBAi0AFAAGAAgAAAAhAJYZf3/HAAAA3AAA&#10;AA8AAAAAAAAAAAAAAAAABwIAAGRycy9kb3ducmV2LnhtbFBLBQYAAAAAAwADALcAAAD7AgAAAAA=&#10;" path="m3,16c,26,5,37,15,40,25,43,36,37,39,27,42,17,36,6,26,3,16,,6,6,3,16xe" filled="f" strokeweight="1.75pt">
                                <v:stroke endcap="round"/>
                                <v:path arrowok="t" o:connecttype="custom" o:connectlocs="8278,44303;41389,110756;107610,74760;71740,8307;8278,44303" o:connectangles="0,0,0,0,0"/>
                              </v:shape>
                              <v:line id="Line 166" o:spid="_x0000_s1030" style="position:absolute;flip:x;visibility:visible;mso-wrap-style:square" from="76200,57150" to="523875,18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P5xgAAANwAAAAPAAAAZHJzL2Rvd25yZXYueG1sRI9NT8Mw&#10;DIbvSPyHyEhcEEvpAU1l2YSmTRqcWNnX0WpMG61xShO27t/Ph0kcrdfv48eT2eBbdaI+usAGXkYZ&#10;KOIqWMe1gc338nkMKiZki21gMnChCLPp/d0ECxvOvKZTmWolEI4FGmhS6gqtY9WQxzgKHbFkP6H3&#10;mGTsa217PAvctzrPslft0bFcaLCjeUPVsfzzovHhFr9f5eVz9bTd7Ldu57tw2Bnz+DC8v4FKNKT/&#10;5Vt7ZQ3kuejLM0IAPb0CAAD//wMAUEsBAi0AFAAGAAgAAAAhANvh9svuAAAAhQEAABMAAAAAAAAA&#10;AAAAAAAAAAAAAFtDb250ZW50X1R5cGVzXS54bWxQSwECLQAUAAYACAAAACEAWvQsW78AAAAVAQAA&#10;CwAAAAAAAAAAAAAAAAAfAQAAX3JlbHMvLnJlbHNQSwECLQAUAAYACAAAACEAlX+j+cYAAADcAAAA&#10;DwAAAAAAAAAAAAAAAAAHAgAAZHJzL2Rvd25yZXYueG1sUEsFBgAAAAADAAMAtwAAAPoCAAAAAA==&#10;" strokeweight="1.75pt">
                                <v:stroke endcap="round"/>
                              </v:line>
                              <v:shape id="Freeform 167" o:spid="_x0000_s1031" style="position:absolute;top:76200;width:115888;height:115888;visibility:visible;mso-wrap-style:square;v-text-anchor:top" coordsize="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21xgAAANwAAAAPAAAAZHJzL2Rvd25yZXYueG1sRI/NasMw&#10;EITvhbyD2EJvjWxDg+NECfmhtIdQEqeX3hZrY5taKyOpsfP2UaHQ4zAz3zDL9Wg6cSXnW8sK0mkC&#10;griyuuVawef59TkH4QOyxs4yKbiRh/Vq8rDEQtuBT3QtQy0ihH2BCpoQ+kJKXzVk0E9tTxy9i3UG&#10;Q5SultrhEOGmk1mSzKTBluNCgz3tGqq+yx+j4ODSzdf87ejy/GM/tPXhZdvdeqWeHsfNAkSgMfyH&#10;/9rvWkGWpfB7Jh4BuboDAAD//wMAUEsBAi0AFAAGAAgAAAAhANvh9svuAAAAhQEAABMAAAAAAAAA&#10;AAAAAAAAAAAAAFtDb250ZW50X1R5cGVzXS54bWxQSwECLQAUAAYACAAAACEAWvQsW78AAAAVAQAA&#10;CwAAAAAAAAAAAAAAAAAfAQAAX3JlbHMvLnJlbHNQSwECLQAUAAYACAAAACEAIBGdtcYAAADcAAAA&#10;DwAAAAAAAAAAAAAAAAAHAgAAZHJzL2Rvd25yZXYueG1sUEsFBgAAAAADAAMAtwAAAPoCAAAAAA==&#10;" path="m27,39c17,42,6,36,3,26,,16,6,6,16,3,26,,36,6,39,16,42,26,37,36,27,39xe" filled="f" strokeweight="1.75pt">
                                <v:stroke endcap="round"/>
                                <v:path arrowok="t" o:connecttype="custom" o:connectlocs="74499,107610;8278,71740;44148,8278;107610,44148;74499,107610" o:connectangles="0,0,0,0,0"/>
                              </v:shape>
                            </v:group>
                            <v:group id="组合 92" o:spid="_x0000_s1032" style="position:absolute;left:211830;width:292021;height:390849" coordsize="3873,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1" o:spid="_x0000_s1033" style="position:absolute;width:3873;height:5524;visibility:visible;mso-wrap-style:square;v-text-anchor:top" coordsize="1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zRWxgAAANsAAAAPAAAAZHJzL2Rvd25yZXYueG1sRI9Ba8JA&#10;FITvBf/D8oReSt0oRSR1E0QQtK2HRin19sw+k2D2bchuTdpf7woFj8PMfMPM097U4kKtqywrGI8i&#10;EMS51RUXCva71fMMhPPIGmvLpOCXHKTJ4GGOsbYdf9Il84UIEHYxKii9b2IpXV6SQTeyDXHwTrY1&#10;6INsC6lb7ALc1HISRVNpsOKwUGJDy5Lyc/ZjFGTvB/dVvY2fjsfoe7vquz/efOyUehz2i1cQnnp/&#10;D/+311rB7AVuX8IPkMkVAAD//wMAUEsBAi0AFAAGAAgAAAAhANvh9svuAAAAhQEAABMAAAAAAAAA&#10;AAAAAAAAAAAAAFtDb250ZW50X1R5cGVzXS54bWxQSwECLQAUAAYACAAAACEAWvQsW78AAAAVAQAA&#10;CwAAAAAAAAAAAAAAAAAfAQAAX3JlbHMvLnJlbHNQSwECLQAUAAYACAAAACEAB980VsYAAADbAAAA&#10;DwAAAAAAAAAAAAAAAAAHAgAAZHJzL2Rvd25yZXYueG1sUEsFBgAAAAADAAMAtwAAAPoCAAAAAA==&#10;" path="m127,v5,,8,3,8,8c135,184,135,184,135,184v,4,-3,8,-8,8c8,192,8,192,8,192,3,192,,188,,184,,8,,8,,8,,3,3,,8,l127,xe" filled="f" strokeweight="1.75pt">
                                <v:stroke endcap="round"/>
                                <v:path arrowok="t" o:connecttype="custom" o:connectlocs="364396,0;387350,23019;387350,529431;364396,552450;22954,552450;0,529431;0,23019;22954,0;364396,0" o:connectangles="0,0,0,0,0,0,0,0,0"/>
                              </v:shape>
                              <v:line id="Line 122" o:spid="_x0000_s1034" style="position:absolute;visibility:visible;mso-wrap-style:square" from="698,1333" to="904,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CywwAAANsAAAAPAAAAZHJzL2Rvd25yZXYueG1sRI9Pi8Iw&#10;FMTvC36H8IS9LJoquGg1ihSUhb34F6+P5tkWm5eaRK3ffiMseBxm5jfMbNGaWtzJ+cqygkE/AUGc&#10;W11xoeCwX/XGIHxA1lhbJgVP8rCYdz5mmGr74C3dd6EQEcI+RQVlCE0qpc9LMuj7tiGO3tk6gyFK&#10;V0jt8BHhppbDJPmWBiuOCyU2lJWUX3Y3oyBzN6b171BOms3x67o8PUdmmyn12W2XUxCB2vAO/7d/&#10;tILxCF5f4g+Q8z8AAAD//wMAUEsBAi0AFAAGAAgAAAAhANvh9svuAAAAhQEAABMAAAAAAAAAAAAA&#10;AAAAAAAAAFtDb250ZW50X1R5cGVzXS54bWxQSwECLQAUAAYACAAAACEAWvQsW78AAAAVAQAACwAA&#10;AAAAAAAAAAAAAAAfAQAAX3JlbHMvLnJlbHNQSwECLQAUAAYACAAAACEAZXsAssMAAADbAAAADwAA&#10;AAAAAAAAAAAAAAAHAgAAZHJzL2Rvd25yZXYueG1sUEsFBgAAAAADAAMAtwAAAPcCAAAAAA==&#10;" strokeweight="1.75pt">
                                <v:stroke endcap="round"/>
                              </v:line>
                              <v:line id="Line 123" o:spid="_x0000_s1035" style="position:absolute;visibility:visible;mso-wrap-style:square" from="1460,1333" to="3127,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7FwwAAANsAAAAPAAAAZHJzL2Rvd25yZXYueG1sRI9Bi8Iw&#10;FITvgv8hPMGLaKqwotUoUthF2MvqKl4fzbMtNi81iVr//UYQ9jjMzDfMct2aWtzJ+cqygvEoAUGc&#10;W11xoeDw+zmcgfABWWNtmRQ8ycN61e0sMdX2wTu670MhIoR9igrKEJpUSp+XZNCPbEMcvbN1BkOU&#10;rpDa4SPCTS0nSTKVBiuOCyU2lJWUX/Y3oyBzN6av74mcNz/HwXVzen6YXaZUv9duFiACteE//G5v&#10;tYLZFF5f4g+Qqz8AAAD//wMAUEsBAi0AFAAGAAgAAAAhANvh9svuAAAAhQEAABMAAAAAAAAAAAAA&#10;AAAAAAAAAFtDb250ZW50X1R5cGVzXS54bWxQSwECLQAUAAYACAAAACEAWvQsW78AAAAVAQAACwAA&#10;AAAAAAAAAAAAAAAfAQAAX3JlbHMvLnJlbHNQSwECLQAUAAYACAAAACEAlamexcMAAADbAAAADwAA&#10;AAAAAAAAAAAAAAAHAgAAZHJzL2Rvd25yZXYueG1sUEsFBgAAAAADAAMAtwAAAPcCAAAAAA==&#10;" strokeweight="1.75pt">
                                <v:stroke endcap="round"/>
                              </v:line>
                              <v:line id="Line 124" o:spid="_x0000_s1036" style="position:absolute;visibility:visible;mso-wrap-style:square" from="698,2286" to="90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TtexQAAANsAAAAPAAAAZHJzL2Rvd25yZXYueG1sRI9Ba8JA&#10;FITvhf6H5RW8FN1UsNWYVSSgCL3UtOL1kX0modm3cXej8d93C4Ueh5n5hsnWg2nFlZxvLCt4mSQg&#10;iEurG64UfH1ux3MQPiBrbC2Tgjt5WK8eHzJMtb3xga5FqESEsE9RQR1Cl0rpy5oM+ontiKN3ts5g&#10;iNJVUju8Rbhp5TRJXqXBhuNCjR3lNZXfRW8U5K5n2r1P5aL7OD5fNqf7zBxypUZPw2YJItAQ/sN/&#10;7b1WMH+D3y/xB8jVDwAAAP//AwBQSwECLQAUAAYACAAAACEA2+H2y+4AAACFAQAAEwAAAAAAAAAA&#10;AAAAAAAAAAAAW0NvbnRlbnRfVHlwZXNdLnhtbFBLAQItABQABgAIAAAAIQBa9CxbvwAAABUBAAAL&#10;AAAAAAAAAAAAAAAAAB8BAABfcmVscy8ucmVsc1BLAQItABQABgAIAAAAIQD65TtexQAAANsAAAAP&#10;AAAAAAAAAAAAAAAAAAcCAABkcnMvZG93bnJldi54bWxQSwUGAAAAAAMAAwC3AAAA+QIAAAAA&#10;" strokeweight="1.75pt">
                                <v:stroke endcap="round"/>
                              </v:line>
                              <v:line id="Line 125" o:spid="_x0000_s1037" style="position:absolute;visibility:visible;mso-wrap-style:square" from="1460,2286" to="312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gq3wwAAANsAAAAPAAAAZHJzL2Rvd25yZXYueG1sRI9Pi8Iw&#10;FMTvwn6H8Ba8iKYKinaNIgVF8OKfXbw+mrdt2ealm0St394IgsdhZn7DzJetqcWVnK8sKxgOEhDE&#10;udUVFwq+T+v+FIQPyBpry6TgTh6Wi4/OHFNtb3yg6zEUIkLYp6igDKFJpfR5SQb9wDbE0fu1zmCI&#10;0hVSO7xFuKnlKEkm0mDFcaHEhrKS8r/jxSjI3IVpsxvJWbP/6f2vzvexOWRKdT/b1ReIQG14h1/t&#10;rVYwncHzS/wBcvEAAAD//wMAUEsBAi0AFAAGAAgAAAAhANvh9svuAAAAhQEAABMAAAAAAAAAAAAA&#10;AAAAAAAAAFtDb250ZW50X1R5cGVzXS54bWxQSwECLQAUAAYACAAAACEAWvQsW78AAAAVAQAACwAA&#10;AAAAAAAAAAAAAAAfAQAAX3JlbHMvLnJlbHNQSwECLQAUAAYACAAAACEA5DYKt8MAAADbAAAADwAA&#10;AAAAAAAAAAAAAAAHAgAAZHJzL2Rvd25yZXYueG1sUEsFBgAAAAADAAMAtwAAAPcCAAAAAA==&#10;" strokeweight="1.75pt">
                                <v:stroke endcap="round"/>
                              </v:line>
                              <v:line id="Line 126" o:spid="_x0000_s1038" style="position:absolute;visibility:visible;mso-wrap-style:square" from="698,3238" to="90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TX3wQAAANsAAAAPAAAAZHJzL2Rvd25yZXYueG1sRE/Pa8Iw&#10;FL4P/B/CE7yMNVXYWDujSEERvEyn7Ppo3tpi81KT2Nb/fjkMdvz4fi/Xo2lFT843lhXMkxQEcWl1&#10;w5WC89f25R2ED8gaW8uk4EEe1qvJ0xJzbQc+Un8KlYgh7HNUUIfQ5VL6siaDPrEdceR+rDMYInSV&#10;1A6HGG5auUjTN2mw4dhQY0dFTeX1dDcKCndn2h0WMus+L8+3zffj1RwLpWbTcfMBItAY/sV/7r1W&#10;kMX18Uv8AXL1CwAA//8DAFBLAQItABQABgAIAAAAIQDb4fbL7gAAAIUBAAATAAAAAAAAAAAAAAAA&#10;AAAAAABbQ29udGVudF9UeXBlc10ueG1sUEsBAi0AFAAGAAgAAAAhAFr0LFu/AAAAFQEAAAsAAAAA&#10;AAAAAAAAAAAAHwEAAF9yZWxzLy5yZWxzUEsBAi0AFAAGAAgAAAAhAPDVNffBAAAA2wAAAA8AAAAA&#10;AAAAAAAAAAAABwIAAGRycy9kb3ducmV2LnhtbFBLBQYAAAAAAwADALcAAAD1AgAAAAA=&#10;" strokeweight="1.75pt">
                                <v:stroke endcap="round"/>
                              </v:line>
                              <v:line id="Line 127" o:spid="_x0000_s1039" style="position:absolute;visibility:visible;mso-wrap-style:square" from="1460,3238" to="312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BsxAAAANsAAAAPAAAAZHJzL2Rvd25yZXYueG1sRI9Ba8JA&#10;FITvBf/D8oReSt0YaNHoKhJoEbyotXh9ZF+T0OzbdHdjkn/fFQo9DjPzDbPeDqYRN3K+tqxgPktA&#10;EBdW11wquHy8PS9A+ICssbFMCkbysN1MHtaYadvziW7nUIoIYZ+hgiqENpPSFxUZ9DPbEkfvyzqD&#10;IUpXSu2wj3DTyDRJXqXBmuNChS3lFRXf584oyF3H9H5I5bI9fj797K7jiznlSj1Oh90KRKAh/If/&#10;2nutYDmH+5f4A+TmFwAA//8DAFBLAQItABQABgAIAAAAIQDb4fbL7gAAAIUBAAATAAAAAAAAAAAA&#10;AAAAAAAAAABbQ29udGVudF9UeXBlc10ueG1sUEsBAi0AFAAGAAgAAAAhAFr0LFu/AAAAFQEAAAsA&#10;AAAAAAAAAAAAAAAAHwEAAF9yZWxzLy5yZWxzUEsBAi0AFAAGAAgAAAAhAJ+ZkGzEAAAA2wAAAA8A&#10;AAAAAAAAAAAAAAAABwIAAGRycy9kb3ducmV2LnhtbFBLBQYAAAAAAwADALcAAAD4AgAAAAA=&#10;" strokeweight="1.75pt">
                                <v:stroke endcap="round"/>
                              </v:line>
                            </v:group>
                          </v:group>
                        </w:pict>
                      </mc:Fallback>
                    </mc:AlternateContent>
                  </w:r>
                </w:p>
              </w:tc>
              <w:tc>
                <w:tcPr>
                  <w:tcW w:w="1990" w:type="dxa"/>
                  <w:tcBorders>
                    <w:bottom w:val="single" w:sz="4" w:space="0" w:color="auto"/>
                    <w:right w:val="nil"/>
                  </w:tcBorders>
                  <w:vAlign w:val="center"/>
                </w:tcPr>
                <w:p w14:paraId="5E3FBA57" w14:textId="77777777" w:rsidR="008F265F" w:rsidRDefault="00A542E4">
                  <w:pPr>
                    <w:spacing w:line="280" w:lineRule="exact"/>
                    <w:rPr>
                      <w:rFonts w:ascii="宋体" w:eastAsia="仿宋_GB2312" w:hAnsi="宋体"/>
                      <w:b/>
                    </w:rPr>
                  </w:pPr>
                  <w:r>
                    <w:rPr>
                      <w:rFonts w:ascii="宋体" w:eastAsia="仿宋_GB2312" w:hAnsi="宋体"/>
                      <w:b/>
                    </w:rPr>
                    <w:t>第</w:t>
                  </w:r>
                  <w:r>
                    <w:rPr>
                      <w:rFonts w:ascii="宋体" w:eastAsia="仿宋_GB2312" w:hAnsi="宋体" w:hint="eastAsia"/>
                      <w:b/>
                    </w:rPr>
                    <w:t>五</w:t>
                  </w:r>
                  <w:r>
                    <w:rPr>
                      <w:rFonts w:ascii="宋体" w:eastAsia="仿宋_GB2312" w:hAnsi="宋体"/>
                      <w:b/>
                    </w:rPr>
                    <w:t>章</w:t>
                  </w:r>
                </w:p>
                <w:p w14:paraId="4DDC9703" w14:textId="77777777" w:rsidR="008F265F" w:rsidRDefault="00A542E4">
                  <w:pPr>
                    <w:spacing w:line="280" w:lineRule="exact"/>
                    <w:rPr>
                      <w:rFonts w:ascii="宋体" w:eastAsia="仿宋_GB2312" w:hAnsi="宋体"/>
                    </w:rPr>
                  </w:pPr>
                  <w:r>
                    <w:rPr>
                      <w:rFonts w:ascii="宋体" w:eastAsia="仿宋_GB2312" w:hAnsi="宋体" w:hint="eastAsia"/>
                      <w:b/>
                    </w:rPr>
                    <w:t>如何退保</w:t>
                  </w:r>
                </w:p>
              </w:tc>
              <w:tc>
                <w:tcPr>
                  <w:tcW w:w="6657" w:type="dxa"/>
                  <w:tcBorders>
                    <w:left w:val="nil"/>
                    <w:bottom w:val="single" w:sz="4" w:space="0" w:color="auto"/>
                  </w:tcBorders>
                  <w:vAlign w:val="center"/>
                </w:tcPr>
                <w:p w14:paraId="229A2E26"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十五</w:t>
                  </w:r>
                  <w:r>
                    <w:rPr>
                      <w:rFonts w:ascii="宋体" w:eastAsia="仿宋_GB2312" w:hAnsi="宋体"/>
                    </w:rPr>
                    <w:t>条</w:t>
                  </w:r>
                  <w:r>
                    <w:rPr>
                      <w:rFonts w:ascii="宋体" w:eastAsia="仿宋_GB2312" w:hAnsi="宋体"/>
                    </w:rPr>
                    <w:t xml:space="preserve">  </w:t>
                  </w:r>
                  <w:r>
                    <w:rPr>
                      <w:rFonts w:ascii="宋体" w:eastAsia="仿宋_GB2312" w:hAnsi="宋体" w:hint="eastAsia"/>
                    </w:rPr>
                    <w:t>犹豫期</w:t>
                  </w:r>
                </w:p>
                <w:p w14:paraId="0FE93C67"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w:t>
                  </w:r>
                  <w:r>
                    <w:rPr>
                      <w:rFonts w:ascii="宋体" w:eastAsia="仿宋_GB2312" w:hAnsi="宋体"/>
                    </w:rPr>
                    <w:t>六条</w:t>
                  </w:r>
                  <w:r>
                    <w:rPr>
                      <w:rFonts w:ascii="宋体" w:eastAsia="仿宋_GB2312" w:hAnsi="宋体"/>
                    </w:rPr>
                    <w:t xml:space="preserve">  </w:t>
                  </w:r>
                  <w:r>
                    <w:rPr>
                      <w:rFonts w:ascii="宋体" w:eastAsia="仿宋_GB2312" w:hAnsi="宋体" w:hint="eastAsia"/>
                    </w:rPr>
                    <w:t>您解除合同的手续及风险</w:t>
                  </w:r>
                </w:p>
                <w:p w14:paraId="01BEF1AC" w14:textId="77777777" w:rsidR="008F265F" w:rsidRDefault="00A542E4">
                  <w:pPr>
                    <w:spacing w:line="280" w:lineRule="exact"/>
                    <w:rPr>
                      <w:rFonts w:ascii="宋体" w:eastAsia="仿宋_GB2312" w:hAnsi="宋体"/>
                    </w:rPr>
                  </w:pPr>
                  <w:r>
                    <w:rPr>
                      <w:rFonts w:ascii="宋体" w:eastAsia="仿宋_GB2312" w:hAnsi="宋体"/>
                    </w:rPr>
                    <w:t>第十七条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本公司合同解除权的限制</w:t>
                  </w:r>
                </w:p>
              </w:tc>
            </w:tr>
            <w:tr w:rsidR="008F265F" w14:paraId="6C6DF2FA" w14:textId="77777777">
              <w:trPr>
                <w:trHeight w:hRule="exact" w:val="340"/>
              </w:trPr>
              <w:tc>
                <w:tcPr>
                  <w:tcW w:w="1006" w:type="dxa"/>
                  <w:tcBorders>
                    <w:top w:val="nil"/>
                    <w:left w:val="nil"/>
                    <w:bottom w:val="nil"/>
                    <w:right w:val="nil"/>
                  </w:tcBorders>
                  <w:vAlign w:val="center"/>
                </w:tcPr>
                <w:p w14:paraId="51257DA1" w14:textId="77777777" w:rsidR="008F265F" w:rsidRDefault="008F265F">
                  <w:pPr>
                    <w:spacing w:line="280" w:lineRule="exact"/>
                    <w:rPr>
                      <w:rFonts w:ascii="宋体" w:eastAsia="仿宋_GB2312" w:hAnsi="宋体"/>
                      <w:b/>
                    </w:rPr>
                  </w:pPr>
                </w:p>
              </w:tc>
              <w:tc>
                <w:tcPr>
                  <w:tcW w:w="1990" w:type="dxa"/>
                  <w:tcBorders>
                    <w:left w:val="nil"/>
                    <w:right w:val="nil"/>
                  </w:tcBorders>
                  <w:vAlign w:val="center"/>
                </w:tcPr>
                <w:p w14:paraId="26517C94" w14:textId="77777777" w:rsidR="008F265F" w:rsidRDefault="008F265F">
                  <w:pPr>
                    <w:spacing w:line="280" w:lineRule="exact"/>
                    <w:rPr>
                      <w:rFonts w:ascii="宋体" w:eastAsia="仿宋_GB2312" w:hAnsi="宋体"/>
                      <w:b/>
                    </w:rPr>
                  </w:pPr>
                </w:p>
              </w:tc>
              <w:tc>
                <w:tcPr>
                  <w:tcW w:w="6657" w:type="dxa"/>
                  <w:tcBorders>
                    <w:left w:val="nil"/>
                    <w:right w:val="nil"/>
                  </w:tcBorders>
                  <w:vAlign w:val="center"/>
                </w:tcPr>
                <w:p w14:paraId="1F25139B" w14:textId="77777777" w:rsidR="008F265F" w:rsidRDefault="008F265F">
                  <w:pPr>
                    <w:spacing w:line="280" w:lineRule="exact"/>
                    <w:rPr>
                      <w:rFonts w:ascii="宋体" w:eastAsia="仿宋_GB2312" w:hAnsi="宋体"/>
                    </w:rPr>
                  </w:pPr>
                </w:p>
              </w:tc>
            </w:tr>
            <w:tr w:rsidR="008F265F" w14:paraId="0028757E" w14:textId="77777777">
              <w:trPr>
                <w:trHeight w:val="340"/>
              </w:trPr>
              <w:tc>
                <w:tcPr>
                  <w:tcW w:w="1006" w:type="dxa"/>
                  <w:tcBorders>
                    <w:top w:val="nil"/>
                    <w:left w:val="nil"/>
                    <w:bottom w:val="nil"/>
                  </w:tcBorders>
                </w:tcPr>
                <w:p w14:paraId="510F6093" w14:textId="77777777" w:rsidR="008F265F" w:rsidRDefault="008F265F">
                  <w:pPr>
                    <w:spacing w:line="280" w:lineRule="exact"/>
                    <w:ind w:firstLineChars="200" w:firstLine="420"/>
                    <w:rPr>
                      <w:rFonts w:ascii="宋体" w:eastAsia="仿宋_GB2312" w:hAnsi="宋体"/>
                    </w:rPr>
                  </w:pPr>
                </w:p>
              </w:tc>
              <w:tc>
                <w:tcPr>
                  <w:tcW w:w="1990" w:type="dxa"/>
                  <w:tcBorders>
                    <w:bottom w:val="single" w:sz="4" w:space="0" w:color="auto"/>
                    <w:right w:val="nil"/>
                  </w:tcBorders>
                  <w:vAlign w:val="center"/>
                </w:tcPr>
                <w:p w14:paraId="55F8B5B4" w14:textId="77777777" w:rsidR="008F265F" w:rsidRDefault="00A542E4">
                  <w:pPr>
                    <w:spacing w:line="280" w:lineRule="exact"/>
                    <w:rPr>
                      <w:rFonts w:ascii="宋体" w:eastAsia="仿宋_GB2312" w:hAnsi="宋体"/>
                      <w:b/>
                    </w:rPr>
                  </w:pPr>
                  <w:r>
                    <w:rPr>
                      <w:rFonts w:ascii="宋体" w:eastAsia="仿宋_GB2312" w:hAnsi="宋体" w:hint="eastAsia"/>
                      <w:b/>
                    </w:rPr>
                    <w:t>第六章</w:t>
                  </w:r>
                </w:p>
                <w:p w14:paraId="415F8D1D" w14:textId="77777777" w:rsidR="008F265F" w:rsidRDefault="00A542E4">
                  <w:pPr>
                    <w:spacing w:line="280" w:lineRule="exact"/>
                    <w:rPr>
                      <w:rFonts w:ascii="宋体" w:eastAsia="仿宋_GB2312" w:hAnsi="宋体"/>
                    </w:rPr>
                  </w:pPr>
                  <w:r>
                    <w:rPr>
                      <w:rFonts w:ascii="宋体" w:eastAsia="仿宋_GB2312" w:hAnsi="宋体"/>
                      <w:b/>
                    </w:rPr>
                    <w:t>其他权益</w:t>
                  </w:r>
                </w:p>
              </w:tc>
              <w:tc>
                <w:tcPr>
                  <w:tcW w:w="6657" w:type="dxa"/>
                  <w:tcBorders>
                    <w:left w:val="nil"/>
                    <w:bottom w:val="single" w:sz="4" w:space="0" w:color="auto"/>
                  </w:tcBorders>
                  <w:vAlign w:val="center"/>
                </w:tcPr>
                <w:p w14:paraId="09B55965" w14:textId="77777777" w:rsidR="008F265F" w:rsidRDefault="00A542E4">
                  <w:pPr>
                    <w:spacing w:line="280" w:lineRule="exact"/>
                    <w:rPr>
                      <w:rFonts w:ascii="宋体" w:eastAsia="仿宋_GB2312" w:hAnsi="宋体"/>
                    </w:rPr>
                  </w:pPr>
                  <w:r>
                    <w:rPr>
                      <w:rFonts w:ascii="宋体" w:eastAsia="仿宋_GB2312" w:hAnsi="宋体"/>
                    </w:rPr>
                    <w:t>第十八条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现金价值</w:t>
                  </w:r>
                </w:p>
                <w:p w14:paraId="0D333297"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w:t>
                  </w:r>
                  <w:r>
                    <w:rPr>
                      <w:rFonts w:ascii="宋体" w:eastAsia="仿宋_GB2312" w:hAnsi="宋体"/>
                    </w:rPr>
                    <w:t>九条</w:t>
                  </w:r>
                  <w:r>
                    <w:rPr>
                      <w:rFonts w:ascii="宋体" w:eastAsia="仿宋_GB2312" w:hAnsi="宋体"/>
                    </w:rPr>
                    <w:t xml:space="preserve">  </w:t>
                  </w:r>
                  <w:r>
                    <w:rPr>
                      <w:rFonts w:ascii="宋体" w:eastAsia="仿宋_GB2312" w:hAnsi="宋体" w:hint="eastAsia"/>
                    </w:rPr>
                    <w:t>保单贷款</w:t>
                  </w:r>
                </w:p>
              </w:tc>
            </w:tr>
            <w:tr w:rsidR="008F265F" w14:paraId="6D5C46DE" w14:textId="77777777">
              <w:trPr>
                <w:trHeight w:hRule="exact" w:val="340"/>
              </w:trPr>
              <w:tc>
                <w:tcPr>
                  <w:tcW w:w="1006" w:type="dxa"/>
                  <w:tcBorders>
                    <w:top w:val="nil"/>
                    <w:left w:val="nil"/>
                    <w:bottom w:val="nil"/>
                    <w:right w:val="nil"/>
                  </w:tcBorders>
                  <w:vAlign w:val="center"/>
                </w:tcPr>
                <w:p w14:paraId="2B3023D0" w14:textId="77777777" w:rsidR="008F265F" w:rsidRDefault="00A542E4">
                  <w:pPr>
                    <w:spacing w:line="280" w:lineRule="exact"/>
                    <w:ind w:firstLineChars="200" w:firstLine="420"/>
                    <w:rPr>
                      <w:rFonts w:ascii="宋体" w:eastAsia="仿宋_GB2312" w:hAnsi="宋体"/>
                    </w:rPr>
                  </w:pPr>
                  <w:r>
                    <w:rPr>
                      <w:rFonts w:ascii="宋体" w:eastAsia="仿宋_GB2312" w:hAnsi="宋体"/>
                      <w:noProof/>
                    </w:rPr>
                    <mc:AlternateContent>
                      <mc:Choice Requires="wpg">
                        <w:drawing>
                          <wp:anchor distT="0" distB="0" distL="114300" distR="114300" simplePos="0" relativeHeight="251669504" behindDoc="0" locked="0" layoutInCell="1" allowOverlap="1" wp14:anchorId="33465628" wp14:editId="2C641CD1">
                            <wp:simplePos x="0" y="0"/>
                            <wp:positionH relativeFrom="column">
                              <wp:posOffset>70485</wp:posOffset>
                            </wp:positionH>
                            <wp:positionV relativeFrom="paragraph">
                              <wp:posOffset>-389255</wp:posOffset>
                            </wp:positionV>
                            <wp:extent cx="407035" cy="371475"/>
                            <wp:effectExtent l="0" t="0" r="12065" b="28575"/>
                            <wp:wrapNone/>
                            <wp:docPr id="27" name="组合 9"/>
                            <wp:cNvGraphicFramePr/>
                            <a:graphic xmlns:a="http://schemas.openxmlformats.org/drawingml/2006/main">
                              <a:graphicData uri="http://schemas.microsoft.com/office/word/2010/wordprocessingGroup">
                                <wpg:wgp>
                                  <wpg:cNvGrpSpPr/>
                                  <wpg:grpSpPr>
                                    <a:xfrm>
                                      <a:off x="0" y="0"/>
                                      <a:ext cx="407035" cy="371475"/>
                                      <a:chOff x="0" y="0"/>
                                      <a:chExt cx="550863" cy="555625"/>
                                    </a:xfrm>
                                  </wpg:grpSpPr>
                                  <wps:wsp>
                                    <wps:cNvPr id="28" name="Freeform 151"/>
                                    <wps:cNvSpPr/>
                                    <wps:spPr bwMode="auto">
                                      <a:xfrm>
                                        <a:off x="0" y="342900"/>
                                        <a:ext cx="180975" cy="88900"/>
                                      </a:xfrm>
                                      <a:custGeom>
                                        <a:avLst/>
                                        <a:gdLst>
                                          <a:gd name="T0" fmla="*/ 32 w 63"/>
                                          <a:gd name="T1" fmla="*/ 31 h 31"/>
                                          <a:gd name="T2" fmla="*/ 63 w 63"/>
                                          <a:gd name="T3" fmla="*/ 0 h 31"/>
                                          <a:gd name="T4" fmla="*/ 0 w 63"/>
                                          <a:gd name="T5" fmla="*/ 0 h 31"/>
                                          <a:gd name="T6" fmla="*/ 32 w 63"/>
                                          <a:gd name="T7" fmla="*/ 31 h 31"/>
                                        </a:gdLst>
                                        <a:ahLst/>
                                        <a:cxnLst>
                                          <a:cxn ang="0">
                                            <a:pos x="T0" y="T1"/>
                                          </a:cxn>
                                          <a:cxn ang="0">
                                            <a:pos x="T2" y="T3"/>
                                          </a:cxn>
                                          <a:cxn ang="0">
                                            <a:pos x="T4" y="T5"/>
                                          </a:cxn>
                                          <a:cxn ang="0">
                                            <a:pos x="T6" y="T7"/>
                                          </a:cxn>
                                        </a:cxnLst>
                                        <a:rect l="0" t="0" r="r" b="b"/>
                                        <a:pathLst>
                                          <a:path w="63" h="31">
                                            <a:moveTo>
                                              <a:pt x="32" y="31"/>
                                            </a:moveTo>
                                            <a:cubicBezTo>
                                              <a:pt x="49" y="31"/>
                                              <a:pt x="63" y="17"/>
                                              <a:pt x="63" y="0"/>
                                            </a:cubicBezTo>
                                            <a:cubicBezTo>
                                              <a:pt x="0" y="0"/>
                                              <a:pt x="0" y="0"/>
                                              <a:pt x="0" y="0"/>
                                            </a:cubicBezTo>
                                            <a:cubicBezTo>
                                              <a:pt x="0" y="17"/>
                                              <a:pt x="14" y="31"/>
                                              <a:pt x="32" y="31"/>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29" name="Freeform 152"/>
                                    <wps:cNvSpPr/>
                                    <wps:spPr bwMode="auto">
                                      <a:xfrm>
                                        <a:off x="0" y="100012"/>
                                        <a:ext cx="180975" cy="242888"/>
                                      </a:xfrm>
                                      <a:custGeom>
                                        <a:avLst/>
                                        <a:gdLst>
                                          <a:gd name="T0" fmla="*/ 0 w 114"/>
                                          <a:gd name="T1" fmla="*/ 153 h 153"/>
                                          <a:gd name="T2" fmla="*/ 58 w 114"/>
                                          <a:gd name="T3" fmla="*/ 0 h 153"/>
                                          <a:gd name="T4" fmla="*/ 114 w 114"/>
                                          <a:gd name="T5" fmla="*/ 151 h 153"/>
                                        </a:gdLst>
                                        <a:ahLst/>
                                        <a:cxnLst>
                                          <a:cxn ang="0">
                                            <a:pos x="T0" y="T1"/>
                                          </a:cxn>
                                          <a:cxn ang="0">
                                            <a:pos x="T2" y="T3"/>
                                          </a:cxn>
                                          <a:cxn ang="0">
                                            <a:pos x="T4" y="T5"/>
                                          </a:cxn>
                                        </a:cxnLst>
                                        <a:rect l="0" t="0" r="r" b="b"/>
                                        <a:pathLst>
                                          <a:path w="114" h="153">
                                            <a:moveTo>
                                              <a:pt x="0" y="153"/>
                                            </a:moveTo>
                                            <a:lnTo>
                                              <a:pt x="58" y="0"/>
                                            </a:lnTo>
                                            <a:lnTo>
                                              <a:pt x="114" y="151"/>
                                            </a:lnTo>
                                          </a:path>
                                        </a:pathLst>
                                      </a:custGeom>
                                      <a:noFill/>
                                      <a:ln w="22225" cap="rnd">
                                        <a:solidFill>
                                          <a:srgbClr val="000000"/>
                                        </a:solidFill>
                                        <a:prstDash val="solid"/>
                                        <a:round/>
                                      </a:ln>
                                    </wps:spPr>
                                    <wps:bodyPr vert="horz" wrap="square" lIns="91440" tIns="45720" rIns="91440" bIns="45720" numCol="1" anchor="t" anchorCtr="0" compatLnSpc="1"/>
                                  </wps:wsp>
                                  <wps:wsp>
                                    <wps:cNvPr id="30" name="Freeform 153"/>
                                    <wps:cNvSpPr/>
                                    <wps:spPr bwMode="auto">
                                      <a:xfrm>
                                        <a:off x="369888" y="342900"/>
                                        <a:ext cx="180975" cy="88900"/>
                                      </a:xfrm>
                                      <a:custGeom>
                                        <a:avLst/>
                                        <a:gdLst>
                                          <a:gd name="T0" fmla="*/ 31 w 63"/>
                                          <a:gd name="T1" fmla="*/ 31 h 31"/>
                                          <a:gd name="T2" fmla="*/ 63 w 63"/>
                                          <a:gd name="T3" fmla="*/ 0 h 31"/>
                                          <a:gd name="T4" fmla="*/ 0 w 63"/>
                                          <a:gd name="T5" fmla="*/ 0 h 31"/>
                                          <a:gd name="T6" fmla="*/ 31 w 63"/>
                                          <a:gd name="T7" fmla="*/ 31 h 31"/>
                                        </a:gdLst>
                                        <a:ahLst/>
                                        <a:cxnLst>
                                          <a:cxn ang="0">
                                            <a:pos x="T0" y="T1"/>
                                          </a:cxn>
                                          <a:cxn ang="0">
                                            <a:pos x="T2" y="T3"/>
                                          </a:cxn>
                                          <a:cxn ang="0">
                                            <a:pos x="T4" y="T5"/>
                                          </a:cxn>
                                          <a:cxn ang="0">
                                            <a:pos x="T6" y="T7"/>
                                          </a:cxn>
                                        </a:cxnLst>
                                        <a:rect l="0" t="0" r="r" b="b"/>
                                        <a:pathLst>
                                          <a:path w="63" h="31">
                                            <a:moveTo>
                                              <a:pt x="31" y="31"/>
                                            </a:moveTo>
                                            <a:cubicBezTo>
                                              <a:pt x="49" y="31"/>
                                              <a:pt x="63" y="17"/>
                                              <a:pt x="63" y="0"/>
                                            </a:cubicBezTo>
                                            <a:cubicBezTo>
                                              <a:pt x="0" y="0"/>
                                              <a:pt x="0" y="0"/>
                                              <a:pt x="0" y="0"/>
                                            </a:cubicBezTo>
                                            <a:cubicBezTo>
                                              <a:pt x="0" y="17"/>
                                              <a:pt x="14" y="31"/>
                                              <a:pt x="31" y="31"/>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31" name="Freeform 154"/>
                                    <wps:cNvSpPr/>
                                    <wps:spPr bwMode="auto">
                                      <a:xfrm>
                                        <a:off x="369888" y="100012"/>
                                        <a:ext cx="180975" cy="242888"/>
                                      </a:xfrm>
                                      <a:custGeom>
                                        <a:avLst/>
                                        <a:gdLst>
                                          <a:gd name="T0" fmla="*/ 0 w 114"/>
                                          <a:gd name="T1" fmla="*/ 153 h 153"/>
                                          <a:gd name="T2" fmla="*/ 56 w 114"/>
                                          <a:gd name="T3" fmla="*/ 0 h 153"/>
                                          <a:gd name="T4" fmla="*/ 114 w 114"/>
                                          <a:gd name="T5" fmla="*/ 151 h 153"/>
                                        </a:gdLst>
                                        <a:ahLst/>
                                        <a:cxnLst>
                                          <a:cxn ang="0">
                                            <a:pos x="T0" y="T1"/>
                                          </a:cxn>
                                          <a:cxn ang="0">
                                            <a:pos x="T2" y="T3"/>
                                          </a:cxn>
                                          <a:cxn ang="0">
                                            <a:pos x="T4" y="T5"/>
                                          </a:cxn>
                                        </a:cxnLst>
                                        <a:rect l="0" t="0" r="r" b="b"/>
                                        <a:pathLst>
                                          <a:path w="114" h="153">
                                            <a:moveTo>
                                              <a:pt x="0" y="153"/>
                                            </a:moveTo>
                                            <a:lnTo>
                                              <a:pt x="56" y="0"/>
                                            </a:lnTo>
                                            <a:lnTo>
                                              <a:pt x="114" y="151"/>
                                            </a:lnTo>
                                          </a:path>
                                        </a:pathLst>
                                      </a:custGeom>
                                      <a:noFill/>
                                      <a:ln w="22225" cap="rnd">
                                        <a:solidFill>
                                          <a:srgbClr val="000000"/>
                                        </a:solidFill>
                                        <a:prstDash val="solid"/>
                                        <a:round/>
                                      </a:ln>
                                    </wps:spPr>
                                    <wps:bodyPr vert="horz" wrap="square" lIns="91440" tIns="45720" rIns="91440" bIns="45720" numCol="1" anchor="t" anchorCtr="0" compatLnSpc="1"/>
                                  </wps:wsp>
                                  <wps:wsp>
                                    <wps:cNvPr id="32" name="Line 155"/>
                                    <wps:cNvCnPr/>
                                    <wps:spPr bwMode="auto">
                                      <a:xfrm>
                                        <a:off x="274638" y="0"/>
                                        <a:ext cx="0" cy="555625"/>
                                      </a:xfrm>
                                      <a:prstGeom prst="line">
                                        <a:avLst/>
                                      </a:prstGeom>
                                      <a:noFill/>
                                      <a:ln w="22225" cap="rnd">
                                        <a:solidFill>
                                          <a:srgbClr val="000000"/>
                                        </a:solidFill>
                                        <a:prstDash val="solid"/>
                                        <a:round/>
                                      </a:ln>
                                    </wps:spPr>
                                    <wps:bodyPr/>
                                  </wps:wsp>
                                  <wps:wsp>
                                    <wps:cNvPr id="33" name="Line 156"/>
                                    <wps:cNvCnPr/>
                                    <wps:spPr bwMode="auto">
                                      <a:xfrm>
                                        <a:off x="206375" y="555625"/>
                                        <a:ext cx="141288" cy="0"/>
                                      </a:xfrm>
                                      <a:prstGeom prst="line">
                                        <a:avLst/>
                                      </a:prstGeom>
                                      <a:noFill/>
                                      <a:ln w="22225" cap="rnd">
                                        <a:solidFill>
                                          <a:srgbClr val="000000"/>
                                        </a:solidFill>
                                        <a:prstDash val="solid"/>
                                        <a:round/>
                                      </a:ln>
                                    </wps:spPr>
                                    <wps:bodyPr/>
                                  </wps:wsp>
                                  <wps:wsp>
                                    <wps:cNvPr id="34" name="Line 157"/>
                                    <wps:cNvCnPr/>
                                    <wps:spPr bwMode="auto">
                                      <a:xfrm flipV="1">
                                        <a:off x="22225" y="42862"/>
                                        <a:ext cx="252413" cy="63500"/>
                                      </a:xfrm>
                                      <a:prstGeom prst="line">
                                        <a:avLst/>
                                      </a:prstGeom>
                                      <a:noFill/>
                                      <a:ln w="22225" cap="rnd">
                                        <a:solidFill>
                                          <a:srgbClr val="000000"/>
                                        </a:solidFill>
                                        <a:prstDash val="solid"/>
                                        <a:round/>
                                      </a:ln>
                                    </wps:spPr>
                                    <wps:bodyPr/>
                                  </wps:wsp>
                                  <wps:wsp>
                                    <wps:cNvPr id="35" name="Line 158"/>
                                    <wps:cNvCnPr/>
                                    <wps:spPr bwMode="auto">
                                      <a:xfrm flipH="1" flipV="1">
                                        <a:off x="274638" y="42862"/>
                                        <a:ext cx="254000" cy="63500"/>
                                      </a:xfrm>
                                      <a:prstGeom prst="line">
                                        <a:avLst/>
                                      </a:prstGeom>
                                      <a:noFill/>
                                      <a:ln w="22225" cap="rnd">
                                        <a:solidFill>
                                          <a:srgbClr val="000000"/>
                                        </a:solidFill>
                                        <a:prstDash val="solid"/>
                                        <a:round/>
                                      </a:ln>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B80BB2A" id="组合 9" o:spid="_x0000_s1026" style="position:absolute;left:0;text-align:left;margin-left:5.55pt;margin-top:-30.65pt;width:32.05pt;height:29.25pt;z-index:251669504" coordsize="5508,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oCMAUAAIgeAAAOAAAAZHJzL2Uyb0RvYy54bWzsWdtu4zYQfS/QfyD0WKCx7naMOAs0adIC&#10;abtAsn2nJdkSIIkqKcfJfn3PkJIlOcpuLugi2doPtmSORjNnhofD4cmHuyJnt4lUmSgXlnNkWywp&#10;IxFn5Xphfbq5+HlmMVXzMua5KJOFdZ8o68Ppjz+cbKt54opU5HEiGZSUar6tFlZa19V8MlFRmhRc&#10;HYkqKTG4ErLgNW7lehJLvoX2Ip+4th1OtkLGlRRRohT+PTeD1qnWv1olUf3XaqWSmuULC7bV+lvq&#10;7yV9T05P+HwteZVmUWMGf4EVBc9KvHSn6pzXnG1k9kBVkUVSKLGqjyJRTMRqlUWJ9gHeOPaeN5dS&#10;bCrty3q+XVc7mADtHk4vVhv9eXspq+vqowQS22oNLPQd+XK3kgX9wkp2pyG730GW3NUswp++PbW9&#10;wGIRhryp408DA2mUAvcHT0Xpr81zQWDPQs88FwRB6OrnJu1LJwNTthWSQ3X+q9f5f53yKtGwqjn8&#10;/yhZFi8sF5la8gI5eiGThDKOOYFD3tDrIbcDSc0V8GLL7R8ihjjf1ELHfhQvz3eP7SbPWtCcmX0M&#10;oDRos1kzvPOdz6ONqi8TocHnt1eqNlka40rnWNwYeoOMXhU5EvanCfNctmWAtJFtRZy+iMNS5mmf&#10;kKk7LW5PJPRGtSBSuxfZo0r8gcSYJXD4KzrCnsQj7kz7Ip07AG/dwsPTFrHormwgwxXjREm2jlQl&#10;FOUm4Ye8vdGIQAWkCN9HhAETCWuEvyoMOEi4zeova4bfJDyl2LWazW9jvgSP7TOYtBgYbGniXfGa&#10;vCbr6ZJtFxbNrhST0tEeF+I2uRF6vCbXPeONSQa8qxuPNsss+iX53Jf2j7WFbepUWgW9AGY72my8&#10;t/+nTnhyYaBseGceMCFoJshT/nqG1qFpjonJ0Il9HIYmRrlQiQkKwaqjs4NaG9JN1FJcZHmuZ19e&#10;UgBcfGiScyxrsox1GJTIs5jkKBJKrpdnuWS3nBYn/WkyYCBWSVWfc5UaOT1kgo7VoYyNdTkSF5xp&#10;mMkw1lLE92AprM1Y9FIhP1tsi3VuYal/NlwmFst/L0Gkx47v08Kob/xg6uJG9keW/ZFyU5wJWAtW&#10;4WUErQurbi/ParOuYmEDRlfldRWRIBnYELgx7L9ncmTrAyZ3yZBXMbmDCDlaDZ+PMbnru7PZrIlg&#10;uxa8iMptcLCDdNXJ1PF0n8qdwAMN43tfqE/mwWxc0T6bj6jp0zlMGdfTZ3SslZ1BmBpvn45p/u4W&#10;iJcwLIWIKJbgo/nccWifxxpw8bZuPC/77Bqg8gCRtpzZDra/Rpl+GdGtqUmgzozj4kBNRFrvgpo8&#10;MnS/yNRz+IXU5IXHRDqUP9+u0nRGa8Q+PXldafb2K81xdw6VJlESw5r+ykoTeUHZ2RbZHQsOay1D&#10;c99xpbmHw9D7Q6WJ7cy7qzSR1A/pXNdtr6fzd1huhuNl4qHcpL7C2yk3TbvhUG5+/zth6m6YcvMq&#10;KxNsF3U/quGms7Jp+j6xn+lO/dDrbVW6XTDKBOr/jvRxsTlB94J6mYwuFlYOO/Rmqe1r0v6lEaE9&#10;1Nvsonz7HoYH0hxELuz1L54dOTv0qN88iFEXPsd30LkwMWxZoe1ftLE5hA/nTGNnNOOHCR46A4Pw&#10;6SbpcyYeW+VZ9Tc10GhaNEcwTUsRcUSvKdzrRbmB6ztIG5qKoReYQwdMr0Mon3jc9kgoMXEGodQt&#10;vmeH8jcK5XhQO14djaqPvuP/Kar67A/Hnbpkao5m6Ty1f697yt0B8um/AAAA//8DAFBLAwQUAAYA&#10;CAAAACEAJQnNNd4AAAAIAQAADwAAAGRycy9kb3ducmV2LnhtbEyPwWrDMAyG74O9g9Fgt9ZxSruS&#10;xSmlbDuVwdrB2M2N1SQ0lkPsJunbTzttx1/6+PUp30yuFQP2ofGkQc0TEEiltw1VGj6Pr7M1iBAN&#10;WdN6Qg03DLAp7u9yk1k/0gcOh1gJLqGQGQ11jF0mZShrdCbMfYfEu7PvnYkc+0ra3oxc7lqZJslK&#10;OtMQX6hNh7say8vh6jS8jWbcLtTLsL+cd7fv4/L9a69Q68eHafsMIuIU/2D41Wd1KNjp5K9kg2g5&#10;K8WkhtlKLUAw8LRMQZx4kK5BFrn8/0DxAwAA//8DAFBLAQItABQABgAIAAAAIQC2gziS/gAAAOEB&#10;AAATAAAAAAAAAAAAAAAAAAAAAABbQ29udGVudF9UeXBlc10ueG1sUEsBAi0AFAAGAAgAAAAhADj9&#10;If/WAAAAlAEAAAsAAAAAAAAAAAAAAAAALwEAAF9yZWxzLy5yZWxzUEsBAi0AFAAGAAgAAAAhAErQ&#10;mgIwBQAAiB4AAA4AAAAAAAAAAAAAAAAALgIAAGRycy9lMm9Eb2MueG1sUEsBAi0AFAAGAAgAAAAh&#10;ACUJzTXeAAAACAEAAA8AAAAAAAAAAAAAAAAAigcAAGRycy9kb3ducmV2LnhtbFBLBQYAAAAABAAE&#10;APMAAACVCAAAAAA=&#10;">
                            <v:shape id="Freeform 151" o:spid="_x0000_s1027" style="position:absolute;top:3429;width:1809;height:889;visibility:visible;mso-wrap-style:square;v-text-anchor:top" coordsize="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JOSvAAAANsAAAAPAAAAZHJzL2Rvd25yZXYueG1sRE9LCsIw&#10;EN0L3iGM4E5TFcRWo4gg+Fn5OcDQjG2wmZQmavX0ZiG4fLz/YtXaSjyp8caxgtEwAUGcO224UHC9&#10;bAczED4ga6wck4I3eVgtu50FZtq9+ETPcyhEDGGfoYIyhDqT0uclWfRDVxNH7uYaiyHCppC6wVcM&#10;t5UcJ8lUWjQcG0qsaVNSfj8/rII1mdRN9PXQ5rfj/jMxPqQ7r1S/167nIAK14S/+uXdawTiOjV/i&#10;D5DLLwAAAP//AwBQSwECLQAUAAYACAAAACEA2+H2y+4AAACFAQAAEwAAAAAAAAAAAAAAAAAAAAAA&#10;W0NvbnRlbnRfVHlwZXNdLnhtbFBLAQItABQABgAIAAAAIQBa9CxbvwAAABUBAAALAAAAAAAAAAAA&#10;AAAAAB8BAABfcmVscy8ucmVsc1BLAQItABQABgAIAAAAIQCOUJOSvAAAANsAAAAPAAAAAAAAAAAA&#10;AAAAAAcCAABkcnMvZG93bnJldi54bWxQSwUGAAAAAAMAAwC3AAAA8AIAAAAA&#10;" path="m32,31c49,31,63,17,63,,,,,,,,,17,14,31,32,31xe" filled="f" strokeweight="1.75pt">
                              <v:stroke endcap="round"/>
                              <v:path arrowok="t" o:connecttype="custom" o:connectlocs="91924,88900;180975,0;0,0;91924,88900" o:connectangles="0,0,0,0"/>
                            </v:shape>
                            <v:shape id="Freeform 152" o:spid="_x0000_s1028" style="position:absolute;top:1000;width:1809;height:2429;visibility:visible;mso-wrap-style:square;v-text-anchor:top" coordsize="11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2ewAAAANsAAAAPAAAAZHJzL2Rvd25yZXYueG1sRI/NisIw&#10;FIX3gu8QruBOU4vITDVKERTB1TiO60tzbarNTWmi1rc3A4LLw/n5OItVZ2txp9ZXjhVMxgkI4sLp&#10;iksFx9/N6AuED8gaa8ek4EkeVst+b4GZdg/+ofshlCKOsM9QgQmhyaT0hSGLfuwa4uidXWsxRNmW&#10;Urf4iOO2lmmSzKTFiiPBYENrQ8X1cLORK/OL4U013e5v+2aS/uWn4yxXajjo8jmIQF34hN/tnVaQ&#10;fsP/l/gD5PIFAAD//wMAUEsBAi0AFAAGAAgAAAAhANvh9svuAAAAhQEAABMAAAAAAAAAAAAAAAAA&#10;AAAAAFtDb250ZW50X1R5cGVzXS54bWxQSwECLQAUAAYACAAAACEAWvQsW78AAAAVAQAACwAAAAAA&#10;AAAAAAAAAAAfAQAAX3JlbHMvLnJlbHNQSwECLQAUAAYACAAAACEAyYrtnsAAAADbAAAADwAAAAAA&#10;AAAAAAAAAAAHAgAAZHJzL2Rvd25yZXYueG1sUEsFBgAAAAADAAMAtwAAAPQCAAAAAA==&#10;" path="m,153l58,r56,151e" filled="f" strokeweight="1.75pt">
                              <v:stroke endcap="round"/>
                              <v:path arrowok="t" o:connecttype="custom" o:connectlocs="0,242888;92075,0;180975,239713" o:connectangles="0,0,0"/>
                            </v:shape>
                            <v:shape id="Freeform 153" o:spid="_x0000_s1029" style="position:absolute;left:3698;top:3429;width:1810;height:889;visibility:visible;mso-wrap-style:square;v-text-anchor:top" coordsize="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lJuwAAANsAAAAPAAAAZHJzL2Rvd25yZXYueG1sRE9LCsIw&#10;EN0L3iGM4E5TLYhWo4gg+Fn5OcDQjG2wmZQmavX0ZiG4fLz/YtXaSjyp8caxgtEwAUGcO224UHC9&#10;bAdTED4ga6wck4I3eVgtu50FZtq9+ETPcyhEDGGfoYIyhDqT0uclWfRDVxNH7uYaiyHCppC6wVcM&#10;t5UcJ8lEWjQcG0qsaVNSfj8/rII1mZlL9fXQ5rfj/pMaH2Y7r1S/167nIAK14S/+uXdaQRrXxy/x&#10;B8jlFwAA//8DAFBLAQItABQABgAIAAAAIQDb4fbL7gAAAIUBAAATAAAAAAAAAAAAAAAAAAAAAABb&#10;Q29udGVudF9UeXBlc10ueG1sUEsBAi0AFAAGAAgAAAAhAFr0LFu/AAAAFQEAAAsAAAAAAAAAAAAA&#10;AAAAHwEAAF9yZWxzLy5yZWxzUEsBAi0AFAAGAAgAAAAhAPX/CUm7AAAA2wAAAA8AAAAAAAAAAAAA&#10;AAAABwIAAGRycy9kb3ducmV2LnhtbFBLBQYAAAAAAwADALcAAADvAgAAAAA=&#10;" path="m31,31c49,31,63,17,63,,,,,,,,,17,14,31,31,31xe" filled="f" strokeweight="1.75pt">
                              <v:stroke endcap="round"/>
                              <v:path arrowok="t" o:connecttype="custom" o:connectlocs="89051,88900;180975,0;0,0;89051,88900" o:connectangles="0,0,0,0"/>
                            </v:shape>
                            <v:shape id="Freeform 154" o:spid="_x0000_s1030" style="position:absolute;left:3698;top:1000;width:1810;height:2429;visibility:visible;mso-wrap-style:square;v-text-anchor:top" coordsize="11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dFwQAAANsAAAAPAAAAZHJzL2Rvd25yZXYueG1sRI/NisIw&#10;FIX3wrxDuMLsNK0jIh2jlAFFcKXWWV+aa1NtbkoTtb69GRhweTg/H2ex6m0j7tT52rGCdJyAIC6d&#10;rrlSUBzXozkIH5A1No5JwZM8rJYfgwVm2j14T/dDqEQcYZ+hAhNCm0npS0MW/di1xNE7u85iiLKr&#10;pO7wEcdtIydJMpMWa44Egy39GCqvh5uNXJlfDK/r6WZ327Xp5JT/FrNcqc9hn3+DCNSHd/i/vdUK&#10;vlL4+xJ/gFy+AAAA//8DAFBLAQItABQABgAIAAAAIQDb4fbL7gAAAIUBAAATAAAAAAAAAAAAAAAA&#10;AAAAAABbQ29udGVudF9UeXBlc10ueG1sUEsBAi0AFAAGAAgAAAAhAFr0LFu/AAAAFQEAAAsAAAAA&#10;AAAAAAAAAAAAHwEAAF9yZWxzLy5yZWxzUEsBAi0AFAAGAAgAAAAhALIld0XBAAAA2wAAAA8AAAAA&#10;AAAAAAAAAAAABwIAAGRycy9kb3ducmV2LnhtbFBLBQYAAAAAAwADALcAAAD1AgAAAAA=&#10;" path="m,153l56,r58,151e" filled="f" strokeweight="1.75pt">
                              <v:stroke endcap="round"/>
                              <v:path arrowok="t" o:connecttype="custom" o:connectlocs="0,242888;88900,0;180975,239713" o:connectangles="0,0,0"/>
                            </v:shape>
                            <v:line id="Line 155" o:spid="_x0000_s1031" style="position:absolute;visibility:visible;mso-wrap-style:square" from="2746,0" to="2746,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EhxAAAANsAAAAPAAAAZHJzL2Rvd25yZXYueG1sRI9Ba8JA&#10;FITvQv/D8oReRDdNadHoKhKwFHpRq3h9ZJ9JMPs27q4a/31XKHgcZuYbZrboTCOu5HxtWcHbKAFB&#10;XFhdc6lg97sajkH4gKyxsUwK7uRhMX/pzTDT9sYbum5DKSKEfYYKqhDaTEpfVGTQj2xLHL2jdQZD&#10;lK6U2uEtwk0j0yT5lAZrjgsVtpRXVJy2F6Mgdxemr59UTtr1fnBeHu4fZpMr9drvllMQgbrwDP+3&#10;v7WC9xQeX+IPkPM/AAAA//8DAFBLAQItABQABgAIAAAAIQDb4fbL7gAAAIUBAAATAAAAAAAAAAAA&#10;AAAAAAAAAABbQ29udGVudF9UeXBlc10ueG1sUEsBAi0AFAAGAAgAAAAhAFr0LFu/AAAAFQEAAAsA&#10;AAAAAAAAAAAAAAAAHwEAAF9yZWxzLy5yZWxzUEsBAi0AFAAGAAgAAAAhAEktUSHEAAAA2wAAAA8A&#10;AAAAAAAAAAAAAAAABwIAAGRycy9kb3ducmV2LnhtbFBLBQYAAAAAAwADALcAAAD4AgAAAAA=&#10;" strokeweight="1.75pt">
                              <v:stroke endcap="round"/>
                            </v:line>
                            <v:line id="Line 156" o:spid="_x0000_s1032" style="position:absolute;visibility:visible;mso-wrap-style:square" from="2063,5556" to="3476,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S6xQAAANsAAAAPAAAAZHJzL2Rvd25yZXYueG1sRI9Pa8JA&#10;FMTvgt9heUIvohuVFptmIxKoCL3UP6XXR/aZBLNv4+6q8dt3C4Ueh5n5DZOtetOKGznfWFYwmyYg&#10;iEurG64UHA/vkyUIH5A1tpZJwYM8rPLhIMNU2zvv6LYPlYgQ9ikqqEPoUil9WZNBP7UdcfRO1hkM&#10;UbpKaof3CDetnCfJizTYcFyosaOipvK8vxoFhbsybT7m8rX7/Bpf1t+PZ7MrlHoa9es3EIH68B/+&#10;a2+1gsUCfr/EHyDzHwAAAP//AwBQSwECLQAUAAYACAAAACEA2+H2y+4AAACFAQAAEwAAAAAAAAAA&#10;AAAAAAAAAAAAW0NvbnRlbnRfVHlwZXNdLnhtbFBLAQItABQABgAIAAAAIQBa9CxbvwAAABUBAAAL&#10;AAAAAAAAAAAAAAAAAB8BAABfcmVscy8ucmVsc1BLAQItABQABgAIAAAAIQAmYfS6xQAAANsAAAAP&#10;AAAAAAAAAAAAAAAAAAcCAABkcnMvZG93bnJldi54bWxQSwUGAAAAAAMAAwC3AAAA+QIAAAAA&#10;" strokeweight="1.75pt">
                              <v:stroke endcap="round"/>
                            </v:line>
                            <v:line id="Line 157" o:spid="_x0000_s1033" style="position:absolute;flip:y;visibility:visible;mso-wrap-style:square" from="222,428" to="2746,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cbxQAAANsAAAAPAAAAZHJzL2Rvd25yZXYueG1sRI9PawIx&#10;EMXvBb9DGMFL0WxtEVmNIkXB9tSuf4/DZtwNbibrJur67ZtCocfHm/d786bz1lbiRo03jhW8DBIQ&#10;xLnThgsF282qPwbhA7LGyjEpeJCH+azzNMVUuzt/0y0LhYgQ9ikqKEOoUyl9XpJFP3A1cfROrrEY&#10;omwKqRu8R7it5DBJRtKi4dhQYk3vJeXn7GrjGx9mefnKHp/r5932sDN7W7vjXqlet11MQARqw//x&#10;X3qtFby+we+WCAA5+wEAAP//AwBQSwECLQAUAAYACAAAACEA2+H2y+4AAACFAQAAEwAAAAAAAAAA&#10;AAAAAAAAAAAAW0NvbnRlbnRfVHlwZXNdLnhtbFBLAQItABQABgAIAAAAIQBa9CxbvwAAABUBAAAL&#10;AAAAAAAAAAAAAAAAAB8BAABfcmVscy8ucmVsc1BLAQItABQABgAIAAAAIQCv9GcbxQAAANsAAAAP&#10;AAAAAAAAAAAAAAAAAAcCAABkcnMvZG93bnJldi54bWxQSwUGAAAAAAMAAwC3AAAA+QIAAAAA&#10;" strokeweight="1.75pt">
                              <v:stroke endcap="round"/>
                            </v:line>
                            <v:line id="Line 158" o:spid="_x0000_s1034" style="position:absolute;flip:x y;visibility:visible;mso-wrap-style:square" from="2746,428" to="5286,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YfxgAAANsAAAAPAAAAZHJzL2Rvd25yZXYueG1sRI/dasJA&#10;FITvBd9hOYXe6aZKa0mziqjFIhgwlZbeHbInP5g9G7Krpm/fFQpeDjPzDZMsetOIC3WutqzgaRyB&#10;IM6trrlUcPx8H72CcB5ZY2OZFPySg8V8OEgw1vbKB7pkvhQBwi5GBZX3bSylyysy6Ma2JQ5eYTuD&#10;PsiulLrDa4CbRk6i6EUarDksVNjSqqL8lJ2Ngtn0WMqvPv3e7GX6s85W6XZXkFKPD/3yDYSn3t/D&#10;/+0PrWD6DLcv4QfI+R8AAAD//wMAUEsBAi0AFAAGAAgAAAAhANvh9svuAAAAhQEAABMAAAAAAAAA&#10;AAAAAAAAAAAAAFtDb250ZW50X1R5cGVzXS54bWxQSwECLQAUAAYACAAAACEAWvQsW78AAAAVAQAA&#10;CwAAAAAAAAAAAAAAAAAfAQAAX3JlbHMvLnJlbHNQSwECLQAUAAYACAAAACEAY3IGH8YAAADbAAAA&#10;DwAAAAAAAAAAAAAAAAAHAgAAZHJzL2Rvd25yZXYueG1sUEsFBgAAAAADAAMAtwAAAPoCAAAAAA==&#10;" strokeweight="1.75pt">
                              <v:stroke endcap="round"/>
                            </v:line>
                          </v:group>
                        </w:pict>
                      </mc:Fallback>
                    </mc:AlternateContent>
                  </w:r>
                </w:p>
              </w:tc>
              <w:tc>
                <w:tcPr>
                  <w:tcW w:w="1990" w:type="dxa"/>
                  <w:tcBorders>
                    <w:left w:val="nil"/>
                    <w:right w:val="nil"/>
                  </w:tcBorders>
                  <w:vAlign w:val="center"/>
                </w:tcPr>
                <w:p w14:paraId="70DAAF83" w14:textId="77777777" w:rsidR="008F265F" w:rsidRDefault="008F265F">
                  <w:pPr>
                    <w:spacing w:line="280" w:lineRule="exact"/>
                    <w:rPr>
                      <w:rFonts w:ascii="宋体" w:eastAsia="仿宋_GB2312" w:hAnsi="宋体"/>
                      <w:b/>
                    </w:rPr>
                  </w:pPr>
                </w:p>
              </w:tc>
              <w:tc>
                <w:tcPr>
                  <w:tcW w:w="6657" w:type="dxa"/>
                  <w:tcBorders>
                    <w:left w:val="nil"/>
                    <w:right w:val="nil"/>
                  </w:tcBorders>
                  <w:vAlign w:val="center"/>
                </w:tcPr>
                <w:p w14:paraId="108C31B9" w14:textId="77777777" w:rsidR="008F265F" w:rsidRDefault="008F265F">
                  <w:pPr>
                    <w:spacing w:line="280" w:lineRule="exact"/>
                    <w:rPr>
                      <w:rFonts w:ascii="宋体" w:eastAsia="仿宋_GB2312" w:hAnsi="宋体"/>
                    </w:rPr>
                  </w:pPr>
                </w:p>
              </w:tc>
            </w:tr>
            <w:tr w:rsidR="008F265F" w14:paraId="48A1161E" w14:textId="77777777">
              <w:trPr>
                <w:trHeight w:val="340"/>
              </w:trPr>
              <w:tc>
                <w:tcPr>
                  <w:tcW w:w="1006" w:type="dxa"/>
                  <w:tcBorders>
                    <w:top w:val="nil"/>
                    <w:left w:val="nil"/>
                    <w:bottom w:val="nil"/>
                  </w:tcBorders>
                </w:tcPr>
                <w:p w14:paraId="0817A97D" w14:textId="77777777" w:rsidR="008F265F" w:rsidRDefault="00A542E4">
                  <w:pPr>
                    <w:spacing w:line="280" w:lineRule="exact"/>
                    <w:rPr>
                      <w:rFonts w:ascii="宋体" w:eastAsia="仿宋_GB2312" w:hAnsi="宋体"/>
                    </w:rPr>
                  </w:pPr>
                  <w:r>
                    <w:rPr>
                      <w:rFonts w:ascii="宋体" w:eastAsia="仿宋_GB2312" w:hAnsi="宋体"/>
                      <w:b/>
                      <w:noProof/>
                    </w:rPr>
                    <mc:AlternateContent>
                      <mc:Choice Requires="wpg">
                        <w:drawing>
                          <wp:anchor distT="0" distB="0" distL="114300" distR="114300" simplePos="0" relativeHeight="251668480" behindDoc="0" locked="0" layoutInCell="1" allowOverlap="1" wp14:anchorId="17B24110" wp14:editId="2C76D310">
                            <wp:simplePos x="0" y="0"/>
                            <wp:positionH relativeFrom="column">
                              <wp:posOffset>131445</wp:posOffset>
                            </wp:positionH>
                            <wp:positionV relativeFrom="paragraph">
                              <wp:posOffset>534035</wp:posOffset>
                            </wp:positionV>
                            <wp:extent cx="301625" cy="401955"/>
                            <wp:effectExtent l="0" t="0" r="22225" b="36195"/>
                            <wp:wrapNone/>
                            <wp:docPr id="7" name="组合 7"/>
                            <wp:cNvGraphicFramePr/>
                            <a:graphic xmlns:a="http://schemas.openxmlformats.org/drawingml/2006/main">
                              <a:graphicData uri="http://schemas.microsoft.com/office/word/2010/wordprocessingGroup">
                                <wpg:wgp>
                                  <wpg:cNvGrpSpPr/>
                                  <wpg:grpSpPr>
                                    <a:xfrm>
                                      <a:off x="0" y="0"/>
                                      <a:ext cx="301625" cy="401955"/>
                                      <a:chOff x="0" y="0"/>
                                      <a:chExt cx="393700" cy="596900"/>
                                    </a:xfrm>
                                  </wpg:grpSpPr>
                                  <wpg:grpSp>
                                    <wpg:cNvPr id="12" name="组合 12"/>
                                    <wpg:cNvGrpSpPr/>
                                    <wpg:grpSpPr>
                                      <a:xfrm>
                                        <a:off x="0" y="0"/>
                                        <a:ext cx="387350" cy="552450"/>
                                        <a:chOff x="0" y="0"/>
                                        <a:chExt cx="387350" cy="552450"/>
                                      </a:xfrm>
                                    </wpg:grpSpPr>
                                    <wps:wsp>
                                      <wps:cNvPr id="16" name="Freeform 121"/>
                                      <wps:cNvSpPr/>
                                      <wps:spPr bwMode="auto">
                                        <a:xfrm>
                                          <a:off x="0" y="0"/>
                                          <a:ext cx="387350" cy="552450"/>
                                        </a:xfrm>
                                        <a:custGeom>
                                          <a:avLst/>
                                          <a:gdLst>
                                            <a:gd name="T0" fmla="*/ 127 w 135"/>
                                            <a:gd name="T1" fmla="*/ 0 h 192"/>
                                            <a:gd name="T2" fmla="*/ 135 w 135"/>
                                            <a:gd name="T3" fmla="*/ 8 h 192"/>
                                            <a:gd name="T4" fmla="*/ 135 w 135"/>
                                            <a:gd name="T5" fmla="*/ 184 h 192"/>
                                            <a:gd name="T6" fmla="*/ 127 w 135"/>
                                            <a:gd name="T7" fmla="*/ 192 h 192"/>
                                            <a:gd name="T8" fmla="*/ 8 w 135"/>
                                            <a:gd name="T9" fmla="*/ 192 h 192"/>
                                            <a:gd name="T10" fmla="*/ 0 w 135"/>
                                            <a:gd name="T11" fmla="*/ 184 h 192"/>
                                            <a:gd name="T12" fmla="*/ 0 w 135"/>
                                            <a:gd name="T13" fmla="*/ 8 h 192"/>
                                            <a:gd name="T14" fmla="*/ 8 w 135"/>
                                            <a:gd name="T15" fmla="*/ 0 h 192"/>
                                            <a:gd name="T16" fmla="*/ 127 w 135"/>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92">
                                              <a:moveTo>
                                                <a:pt x="127" y="0"/>
                                              </a:moveTo>
                                              <a:cubicBezTo>
                                                <a:pt x="132" y="0"/>
                                                <a:pt x="135" y="3"/>
                                                <a:pt x="135" y="8"/>
                                              </a:cubicBezTo>
                                              <a:cubicBezTo>
                                                <a:pt x="135" y="184"/>
                                                <a:pt x="135" y="184"/>
                                                <a:pt x="135" y="184"/>
                                              </a:cubicBezTo>
                                              <a:cubicBezTo>
                                                <a:pt x="135" y="188"/>
                                                <a:pt x="132" y="192"/>
                                                <a:pt x="127" y="192"/>
                                              </a:cubicBezTo>
                                              <a:cubicBezTo>
                                                <a:pt x="8" y="192"/>
                                                <a:pt x="8" y="192"/>
                                                <a:pt x="8" y="192"/>
                                              </a:cubicBezTo>
                                              <a:cubicBezTo>
                                                <a:pt x="3" y="192"/>
                                                <a:pt x="0" y="188"/>
                                                <a:pt x="0" y="184"/>
                                              </a:cubicBezTo>
                                              <a:cubicBezTo>
                                                <a:pt x="0" y="8"/>
                                                <a:pt x="0" y="8"/>
                                                <a:pt x="0" y="8"/>
                                              </a:cubicBezTo>
                                              <a:cubicBezTo>
                                                <a:pt x="0" y="3"/>
                                                <a:pt x="3" y="0"/>
                                                <a:pt x="8" y="0"/>
                                              </a:cubicBezTo>
                                              <a:lnTo>
                                                <a:pt x="127" y="0"/>
                                              </a:lnTo>
                                              <a:close/>
                                            </a:path>
                                          </a:pathLst>
                                        </a:custGeom>
                                        <a:noFill/>
                                        <a:ln w="22225" cap="rnd">
                                          <a:solidFill>
                                            <a:srgbClr val="000000"/>
                                          </a:solidFill>
                                          <a:prstDash val="solid"/>
                                          <a:round/>
                                        </a:ln>
                                      </wps:spPr>
                                      <wps:bodyPr vert="horz" wrap="square" lIns="91440" tIns="45720" rIns="91440" bIns="45720" numCol="1" anchor="t" anchorCtr="0" compatLnSpc="1"/>
                                    </wps:wsp>
                                    <wps:wsp>
                                      <wps:cNvPr id="17" name="Line 122"/>
                                      <wps:cNvCnPr/>
                                      <wps:spPr bwMode="auto">
                                        <a:xfrm>
                                          <a:off x="69850" y="133350"/>
                                          <a:ext cx="20638" cy="0"/>
                                        </a:xfrm>
                                        <a:prstGeom prst="line">
                                          <a:avLst/>
                                        </a:prstGeom>
                                        <a:noFill/>
                                        <a:ln w="22225" cap="rnd">
                                          <a:solidFill>
                                            <a:srgbClr val="000000"/>
                                          </a:solidFill>
                                          <a:prstDash val="solid"/>
                                          <a:round/>
                                        </a:ln>
                                      </wps:spPr>
                                      <wps:bodyPr/>
                                    </wps:wsp>
                                    <wps:wsp>
                                      <wps:cNvPr id="18" name="Line 123"/>
                                      <wps:cNvCnPr/>
                                      <wps:spPr bwMode="auto">
                                        <a:xfrm>
                                          <a:off x="146050" y="133350"/>
                                          <a:ext cx="166688" cy="0"/>
                                        </a:xfrm>
                                        <a:prstGeom prst="line">
                                          <a:avLst/>
                                        </a:prstGeom>
                                        <a:noFill/>
                                        <a:ln w="22225" cap="rnd">
                                          <a:solidFill>
                                            <a:srgbClr val="000000"/>
                                          </a:solidFill>
                                          <a:prstDash val="solid"/>
                                          <a:round/>
                                        </a:ln>
                                      </wps:spPr>
                                      <wps:bodyPr/>
                                    </wps:wsp>
                                    <wps:wsp>
                                      <wps:cNvPr id="19" name="Line 124"/>
                                      <wps:cNvCnPr/>
                                      <wps:spPr bwMode="auto">
                                        <a:xfrm>
                                          <a:off x="69850" y="228600"/>
                                          <a:ext cx="20638" cy="0"/>
                                        </a:xfrm>
                                        <a:prstGeom prst="line">
                                          <a:avLst/>
                                        </a:prstGeom>
                                        <a:noFill/>
                                        <a:ln w="22225" cap="rnd">
                                          <a:solidFill>
                                            <a:srgbClr val="000000"/>
                                          </a:solidFill>
                                          <a:prstDash val="solid"/>
                                          <a:round/>
                                        </a:ln>
                                      </wps:spPr>
                                      <wps:bodyPr/>
                                    </wps:wsp>
                                    <wps:wsp>
                                      <wps:cNvPr id="21" name="Line 125"/>
                                      <wps:cNvCnPr/>
                                      <wps:spPr bwMode="auto">
                                        <a:xfrm>
                                          <a:off x="146050" y="228600"/>
                                          <a:ext cx="166688" cy="0"/>
                                        </a:xfrm>
                                        <a:prstGeom prst="line">
                                          <a:avLst/>
                                        </a:prstGeom>
                                        <a:noFill/>
                                        <a:ln w="22225" cap="rnd">
                                          <a:solidFill>
                                            <a:srgbClr val="000000"/>
                                          </a:solidFill>
                                          <a:prstDash val="solid"/>
                                          <a:round/>
                                        </a:ln>
                                      </wps:spPr>
                                      <wps:bodyPr/>
                                    </wps:wsp>
                                    <wps:wsp>
                                      <wps:cNvPr id="22" name="Line 126"/>
                                      <wps:cNvCnPr/>
                                      <wps:spPr bwMode="auto">
                                        <a:xfrm>
                                          <a:off x="69850" y="323850"/>
                                          <a:ext cx="20638" cy="0"/>
                                        </a:xfrm>
                                        <a:prstGeom prst="line">
                                          <a:avLst/>
                                        </a:prstGeom>
                                        <a:noFill/>
                                        <a:ln w="22225" cap="rnd">
                                          <a:solidFill>
                                            <a:srgbClr val="000000"/>
                                          </a:solidFill>
                                          <a:prstDash val="solid"/>
                                          <a:round/>
                                        </a:ln>
                                      </wps:spPr>
                                      <wps:bodyPr/>
                                    </wps:wsp>
                                    <wps:wsp>
                                      <wps:cNvPr id="23" name="Line 127"/>
                                      <wps:cNvCnPr/>
                                      <wps:spPr bwMode="auto">
                                        <a:xfrm>
                                          <a:off x="146050" y="323850"/>
                                          <a:ext cx="166688" cy="0"/>
                                        </a:xfrm>
                                        <a:prstGeom prst="line">
                                          <a:avLst/>
                                        </a:prstGeom>
                                        <a:noFill/>
                                        <a:ln w="22225" cap="rnd">
                                          <a:solidFill>
                                            <a:srgbClr val="000000"/>
                                          </a:solidFill>
                                          <a:prstDash val="solid"/>
                                          <a:round/>
                                        </a:ln>
                                      </wps:spPr>
                                      <wps:bodyPr/>
                                    </wps:wsp>
                                  </wpg:grpSp>
                                  <wpg:grpSp>
                                    <wpg:cNvPr id="24" name="组合 24"/>
                                    <wpg:cNvGrpSpPr/>
                                    <wpg:grpSpPr>
                                      <a:xfrm>
                                        <a:off x="184150" y="355600"/>
                                        <a:ext cx="209550" cy="241300"/>
                                        <a:chOff x="0" y="0"/>
                                        <a:chExt cx="257175" cy="322263"/>
                                      </a:xfrm>
                                    </wpg:grpSpPr>
                                    <wps:wsp>
                                      <wps:cNvPr id="25" name="Oval 215"/>
                                      <wps:cNvSpPr>
                                        <a:spLocks noChangeArrowheads="1"/>
                                      </wps:cNvSpPr>
                                      <wps:spPr bwMode="auto">
                                        <a:xfrm>
                                          <a:off x="0" y="0"/>
                                          <a:ext cx="212724" cy="215900"/>
                                        </a:xfrm>
                                        <a:prstGeom prst="ellipse">
                                          <a:avLst/>
                                        </a:prstGeom>
                                        <a:noFill/>
                                        <a:ln w="22225" cap="flat">
                                          <a:solidFill>
                                            <a:srgbClr val="000000"/>
                                          </a:solidFill>
                                          <a:prstDash val="solid"/>
                                          <a:miter lim="800000"/>
                                        </a:ln>
                                      </wps:spPr>
                                      <wps:bodyPr vert="horz" wrap="square" lIns="91440" tIns="45720" rIns="91440" bIns="45720" numCol="1" anchor="t" anchorCtr="0" compatLnSpc="1"/>
                                    </wps:wsp>
                                    <wps:wsp>
                                      <wps:cNvPr id="26" name="Line 216"/>
                                      <wps:cNvCnPr/>
                                      <wps:spPr bwMode="auto">
                                        <a:xfrm>
                                          <a:off x="171450" y="203200"/>
                                          <a:ext cx="85725" cy="119063"/>
                                        </a:xfrm>
                                        <a:prstGeom prst="line">
                                          <a:avLst/>
                                        </a:prstGeom>
                                        <a:noFill/>
                                        <a:ln w="22225" cap="rnd">
                                          <a:solidFill>
                                            <a:srgbClr val="000000"/>
                                          </a:solidFill>
                                          <a:prstDash val="solid"/>
                                          <a:miter lim="800000"/>
                                        </a:ln>
                                      </wps:spPr>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BDBA4CE" id="组合 7" o:spid="_x0000_s1026" style="position:absolute;left:0;text-align:left;margin-left:10.35pt;margin-top:42.05pt;width:23.75pt;height:31.65pt;z-index:251668480" coordsize="3937,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Ef7wUAAPkcAAAOAAAAZHJzL2Uyb0RvYy54bWzsWdtu20YQfS/Qf1jwsUAjLilRF0QOWqcJ&#10;CrhNgLgfsCIpkSjJZXcpy8lzHvrY/+n3FP2NntklRVKhbFlJekHtB5mX4XDmzMzumeHTZ7d5xm5i&#10;pVNZLB3+xHVYXIQySovN0vnp+sXXM4fpShSRyGQRL523sXaeXXz5xdNduYg9mcgsihWDkkIvduXS&#10;SaqqXIxGOkziXOgnsowL3FxLlYsKp2ozipTYQXuejTzXDUY7qaJSyTDWGlef25vOhdG/Xsdh9Wq9&#10;1nHFsqUD2yrzq8zvin5HF0/FYqNEmaRhbYY4w4pcpAVeulf1XFSCbVX6gao8DZXUcl09CWU+kut1&#10;GsbGB3jD3QNvXiq5LY0vm8VuU+5hArQHOJ2tNvzx5qUq35SvFZDYlRtgYc7Il9u1yuk/rGS3BrK3&#10;e8ji24qFuOi7PPAmDgtxa+zy+WRiIQ0T4P7BU2HyXfPc3J+6CAg9N5kHcxzDgFHz0lHPlP2JNRE2&#10;v1YsjZBvnsMKkSOv/vz9/R+//cpwofbjox2bTf1JY+DEG+PY5Mq9jg0+d9QxZL1uA6s/LrBvElHG&#10;Jl/0ogNS0ID0QsUxlRJg4hYnI7ePvl5oJAJb7X6QETAV20qapD4pEe72WyzCra5extJklLi50pWB&#10;cxPhyBROVEfyGqCv8wxV+NUIhk7ZjnG/zqrNXoh3hFyWMD43kUcB7kWQG60efzKsx+8IzYb1jDsi&#10;sGRYD0qgfdlsPKwJgWiFjnk27QrNvWFNWFX3mmbDFs07IkBnWA/vgu0OK+JdrPkx36gU9yYd03QC&#10;2rwL9xHXeBftI9HnJ4HNu2h3NKFe95kpkiZZw9uizlYcMUFbnGsKpJSa1jpKXaxn16a4oAJSlNpH&#10;hAEYCfv1wne3MFAhYVMH92qG6yQ8PUkzUomE5ycJU76QNHLCLtd3W01JYcRPc5Jib8RPc5NCbMR7&#10;jlp06jgpEIDDrV85DFv/ihwQi1JUFN7mkO2wqWC1YQn+Y0mh67m8ia+lkagoyliTzHubHau9H25X&#10;afht/K4n7VsM6u2jtCroFTDdwAIjehdnDbQ9bcO6rRoUZe1NT9HdlwmnB7zBWNWaap3ar7q1BzUy&#10;9eWT3mDT70DR/RdP0o3lBiAf6LYZzGc9h5qLBseTdNsnBpQcu/QArb20sE700sfC0+RfP4pZ0cu+&#10;g1xt7oaZ1LGtYKoAw7z2pWAsbTfrQr5Is8xUS1ZQgXj4Q+KFAnxdFZEpEi2zNCI5qhOtNqvLTLEb&#10;Qazb/NU53RMrla6eC51YOXPLpjFobxFZ6zKsoCCDlpkQ/dOLlYzegqWg6QCbT6R657AdCPzS0b9s&#10;hYodln1fgEjN+XiMIFXmZDyZejhR3Tur7p1im19KWIu9ThQhtC6dqjm8rGzDAMYOjK6KN2VIgmQg&#10;2QMCZw37/EwOC4+lu1dpEYMc1WzXsLjLoubwJ7K4YD4jfksF4vtEdU2EG17vuYGPNCN63uRZwwIp&#10;bETkGB0snQymmBRoSB3SpxGhZPh3ps8/EDzA2QueqXJKIFD1hwaPjwP3jujxIAiwwD2Grx4jPKg9&#10;PtJFgU/3wme2ijPD19ae580C2/uKxWPtYQT0WVpgtLv94BmCeWbwOrU3FL3H2uuP8D5B7WGf64cv&#10;oM3qzPC1ted7Pm2Bj/teM379PLUHAttbOE23dmbwOrU3FL3/V+21Q1I7FzWjW3vYTv889NQW/npE&#10;igumeDbEO06d/aKV5DXf8CeTgR0Lg1+QSaKL3pj7zY5237DUm0z5lFoJPOejqwiaOYHlmq2Dr9Xf&#10;RLGpsbFwvUL3wjyMmtqlhgalpr8pr2T4s2aFvEwwBYq/UUruklhEKKC2LwC89gHK9fMHqx7mDRRE&#10;gy2fHE7KW7Jd8/E4y9JSn0/J15moPn1Ll6cVvvNkab50Zt2G8LG/60zqPQy0OkulhwFXm3wPbhGm&#10;nD5aUIPnuT6+lfU3uhk64rryOJ+j26PbaN3+M13egzOK/KNSNP16u7SYq+b7mvG//hZIH/C650aq&#10;/WJ58RcAAAD//wMAUEsDBBQABgAIAAAAIQAYZAG+3wAAAAgBAAAPAAAAZHJzL2Rvd25yZXYueG1s&#10;TI9BS8NAEIXvgv9hGcGb3STGNsRsSinqqQi2gnjbZqdJaHY2ZLdJ+u8dT3oc3sd73xTr2XZixMG3&#10;jhTEiwgEUuVMS7WCz8PrQwbCB01Gd45QwRU9rMvbm0Lnxk30geM+1IJLyOdaQRNCn0vpqwat9gvX&#10;I3F2coPVgc+hlmbQE5fbTiZRtJRWt8QLje5x22B13l+sgrdJT5vH+GXcnU/b6/fh6f1rF6NS93fz&#10;5hlEwDn8wfCrz+pQstPRXch40SlIohWTCrI0BsH5MktAHJlLVynIspD/Hyh/AAAA//8DAFBLAQIt&#10;ABQABgAIAAAAIQC2gziS/gAAAOEBAAATAAAAAAAAAAAAAAAAAAAAAABbQ29udGVudF9UeXBlc10u&#10;eG1sUEsBAi0AFAAGAAgAAAAhADj9If/WAAAAlAEAAAsAAAAAAAAAAAAAAAAALwEAAF9yZWxzLy5y&#10;ZWxzUEsBAi0AFAAGAAgAAAAhADmyAR/vBQAA+RwAAA4AAAAAAAAAAAAAAAAALgIAAGRycy9lMm9E&#10;b2MueG1sUEsBAi0AFAAGAAgAAAAhABhkAb7fAAAACAEAAA8AAAAAAAAAAAAAAAAASQgAAGRycy9k&#10;b3ducmV2LnhtbFBLBQYAAAAABAAEAPMAAABVCQAAAAA=&#10;">
                            <v:group id="组合 12" o:spid="_x0000_s1027" style="position:absolute;width:3873;height:5524" coordsize="3873,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1" o:spid="_x0000_s1028" style="position:absolute;width:3873;height:5524;visibility:visible;mso-wrap-style:square;v-text-anchor:top" coordsize="13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5o9xAAAANsAAAAPAAAAZHJzL2Rvd25yZXYueG1sRE9Na8JA&#10;EL0X+h+WEbwU3ehBSnQjIghtbQ+NInqbZMckmJ0N2dWk/fXdguBtHu9zFsve1OJGrassK5iMIxDE&#10;udUVFwr2u83oFYTzyBpry6Tghxwsk+enBcbadvxNt9QXIoSwi1FB6X0TS+nykgy6sW2IA3e2rUEf&#10;YFtI3WIXwk0tp1E0kwYrDg0lNrQuKb+kV6Mg3Z7cofqYvGRZdPza9N0vv3/ulBoO+tUchKfeP8R3&#10;95sO82fw/0s4QCZ/AAAA//8DAFBLAQItABQABgAIAAAAIQDb4fbL7gAAAIUBAAATAAAAAAAAAAAA&#10;AAAAAAAAAABbQ29udGVudF9UeXBlc10ueG1sUEsBAi0AFAAGAAgAAAAhAFr0LFu/AAAAFQEAAAsA&#10;AAAAAAAAAAAAAAAAHwEAAF9yZWxzLy5yZWxzUEsBAi0AFAAGAAgAAAAhAHBLmj3EAAAA2wAAAA8A&#10;AAAAAAAAAAAAAAAABwIAAGRycy9kb3ducmV2LnhtbFBLBQYAAAAAAwADALcAAAD4AgAAAAA=&#10;" path="m127,v5,,8,3,8,8c135,184,135,184,135,184v,4,-3,8,-8,8c8,192,8,192,8,192,3,192,,188,,184,,8,,8,,8,,3,3,,8,l127,xe" filled="f" strokeweight="1.75pt">
                                <v:stroke endcap="round"/>
                                <v:path arrowok="t" o:connecttype="custom" o:connectlocs="364396,0;387350,23019;387350,529431;364396,552450;22954,552450;0,529431;0,23019;22954,0;364396,0" o:connectangles="0,0,0,0,0,0,0,0,0"/>
                              </v:shape>
                              <v:line id="Line 122" o:spid="_x0000_s1029" style="position:absolute;visibility:visible;mso-wrap-style:square" from="698,1333" to="904,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67ZwgAAANsAAAAPAAAAZHJzL2Rvd25yZXYueG1sRE9Na8JA&#10;EL0X+h+WEbwU3VRoq2k2IgGl0EtNFa9DdpoEs7Nxd9X477uFgrd5vM/JloPpxIWcby0reJ4mIIgr&#10;q1uuFey+15M5CB+QNXaWScGNPCzzx4cMU22vvKVLGWoRQ9inqKAJoU+l9FVDBv3U9sSR+7HOYIjQ&#10;1VI7vMZw08lZkrxKgy3HhgZ7KhqqjuXZKCjcmWnzOZOL/mv/dFodbi9mWyg1Hg2rdxCBhnAX/7s/&#10;dJz/Bn+/xANk/gsAAP//AwBQSwECLQAUAAYACAAAACEA2+H2y+4AAACFAQAAEwAAAAAAAAAAAAAA&#10;AAAAAAAAW0NvbnRlbnRfVHlwZXNdLnhtbFBLAQItABQABgAIAAAAIQBa9CxbvwAAABUBAAALAAAA&#10;AAAAAAAAAAAAAB8BAABfcmVscy8ucmVsc1BLAQItABQABgAIAAAAIQAS767ZwgAAANsAAAAPAAAA&#10;AAAAAAAAAAAAAAcCAABkcnMvZG93bnJldi54bWxQSwUGAAAAAAMAAwC3AAAA9gIAAAAA&#10;" strokeweight="1.75pt">
                                <v:stroke endcap="round"/>
                              </v:line>
                              <v:line id="Line 123" o:spid="_x0000_s1030" style="position:absolute;visibility:visible;mso-wrap-style:square" from="1460,1333" to="3127,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qrxQAAANsAAAAPAAAAZHJzL2Rvd25yZXYueG1sRI9Pa8JA&#10;EMXvgt9hmYIXqZsKlTZ1FQlUBC/+ael1yE6T0Oxs3F01fvvOQfA2w3vz3m/my9616kIhNp4NvEwy&#10;UMSltw1XBr6On89voGJCtth6JgM3irBcDAdzzK2/8p4uh1QpCeGYo4E6pS7XOpY1OYwT3xGL9uuD&#10;wyRrqLQNeJVw1+ppls20w4alocaOiprKv8PZGSjCmWm9ner3bvc9Pq1+bq9uXxgzeupXH6AS9elh&#10;vl9vrOALrPwiA+jFPwAAAP//AwBQSwECLQAUAAYACAAAACEA2+H2y+4AAACFAQAAEwAAAAAAAAAA&#10;AAAAAAAAAAAAW0NvbnRlbnRfVHlwZXNdLnhtbFBLAQItABQABgAIAAAAIQBa9CxbvwAAABUBAAAL&#10;AAAAAAAAAAAAAAAAAB8BAABfcmVscy8ucmVsc1BLAQItABQABgAIAAAAIQBjcDqrxQAAANsAAAAP&#10;AAAAAAAAAAAAAAAAAAcCAABkcnMvZG93bnJldi54bWxQSwUGAAAAAAMAAwC3AAAA+QIAAAAA&#10;" strokeweight="1.75pt">
                                <v:stroke endcap="round"/>
                              </v:line>
                              <v:line id="Line 124" o:spid="_x0000_s1031" style="position:absolute;visibility:visible;mso-wrap-style:square" from="698,2286" to="90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J8wwgAAANsAAAAPAAAAZHJzL2Rvd25yZXYueG1sRE9La8JA&#10;EL4X/A/LCL0U3TTQoqlrkEBLoRcfLV6H7DQJZmfj7prEf98VCt7m43vOKh9NK3pyvrGs4HmegCAu&#10;rW64UvB9eJ8tQPiArLG1TAqu5CFfTx5WmGk78I76fahEDGGfoYI6hC6T0pc1GfRz2xFH7tc6gyFC&#10;V0ntcIjhppVpkrxKgw3Hhho7KmoqT/uLUVC4C9PHVyqX3fbn6bw5Xl/MrlDqcTpu3kAEGsNd/O/+&#10;1HH+Em6/xAPk+g8AAP//AwBQSwECLQAUAAYACAAAACEA2+H2y+4AAACFAQAAEwAAAAAAAAAAAAAA&#10;AAAAAAAAW0NvbnRlbnRfVHlwZXNdLnhtbFBLAQItABQABgAIAAAAIQBa9CxbvwAAABUBAAALAAAA&#10;AAAAAAAAAAAAAB8BAABfcmVscy8ucmVsc1BLAQItABQABgAIAAAAIQAMPJ8wwgAAANsAAAAPAAAA&#10;AAAAAAAAAAAAAAcCAABkcnMvZG93bnJldi54bWxQSwUGAAAAAAMAAwC3AAAA9gIAAAAA&#10;" strokeweight="1.75pt">
                                <v:stroke endcap="round"/>
                              </v:line>
                              <v:line id="Line 125" o:spid="_x0000_s1032" style="position:absolute;visibility:visible;mso-wrap-style:square" from="1460,2286" to="312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lmLxAAAANsAAAAPAAAAZHJzL2Rvd25yZXYueG1sRI9Ba8JA&#10;FITvQv/D8gq9iNkYqGjqKhKwCF6qtvT6yD6TYPZt3F01/vtuQfA4zMw3zHzZm1ZcyfnGsoJxkoIg&#10;Lq1uuFLwfViPpiB8QNbYWiYFd/KwXLwM5phre+MdXfehEhHCPkcFdQhdLqUvazLoE9sRR+9oncEQ&#10;paukdniLcNPKLE0n0mDDcaHGjoqaytP+YhQU7sL0uc3krPv6GZ5Xv/d3syuUenvtVx8gAvXhGX60&#10;N1pBNob/L/EHyMUfAAAA//8DAFBLAQItABQABgAIAAAAIQDb4fbL7gAAAIUBAAATAAAAAAAAAAAA&#10;AAAAAAAAAABbQ29udGVudF9UeXBlc10ueG1sUEsBAi0AFAAGAAgAAAAhAFr0LFu/AAAAFQEAAAsA&#10;AAAAAAAAAAAAAAAAHwEAAF9yZWxzLy5yZWxzUEsBAi0AFAAGAAgAAAAhADwmWYvEAAAA2wAAAA8A&#10;AAAAAAAAAAAAAAAABwIAAGRycy9kb3ducmV2LnhtbFBLBQYAAAAAAwADALcAAAD4AgAAAAA=&#10;" strokeweight="1.75pt">
                                <v:stroke endcap="round"/>
                              </v:line>
                              <v:line id="Line 126" o:spid="_x0000_s1033" style="position:absolute;visibility:visible;mso-wrap-style:square" from="698,3238" to="90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Mf8wwAAANsAAAAPAAAAZHJzL2Rvd25yZXYueG1sRI9Pi8Iw&#10;FMTvC36H8IS9LJpuQXG7RpHCLoIX/y1eH83btti81CRq/fZGEDwOM/MbZjrvTCMu5HxtWcHnMAFB&#10;XFhdc6lgv/sZTED4gKyxsUwKbuRhPuu9TTHT9sobumxDKSKEfYYKqhDaTEpfVGTQD21LHL1/6wyG&#10;KF0ptcNrhJtGpkkylgZrjgsVtpRXVBy3Z6Mgd2em31Uqv9r138dpcbiNzCZX6r3fLb5BBOrCK/xs&#10;L7WCNIXHl/gD5OwOAAD//wMAUEsBAi0AFAAGAAgAAAAhANvh9svuAAAAhQEAABMAAAAAAAAAAAAA&#10;AAAAAAAAAFtDb250ZW50X1R5cGVzXS54bWxQSwECLQAUAAYACAAAACEAWvQsW78AAAAVAQAACwAA&#10;AAAAAAAAAAAAAAAfAQAAX3JlbHMvLnJlbHNQSwECLQAUAAYACAAAACEAzPTH/MMAAADbAAAADwAA&#10;AAAAAAAAAAAAAAAHAgAAZHJzL2Rvd25yZXYueG1sUEsFBgAAAAADAAMAtwAAAPcCAAAAAA==&#10;" strokeweight="1.75pt">
                                <v:stroke endcap="round"/>
                              </v:line>
                              <v:line id="Line 127" o:spid="_x0000_s1034" style="position:absolute;visibility:visible;mso-wrap-style:square" from="1460,3238" to="312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JnxAAAANsAAAAPAAAAZHJzL2Rvd25yZXYueG1sRI9Ba8JA&#10;FITvQv/D8oReRDdNadHoKhKwFHpRq3h9ZJ9JMPs27q4a/31XKHgcZuYbZrboTCOu5HxtWcHbKAFB&#10;XFhdc6lg97sajkH4gKyxsUwK7uRhMX/pzTDT9sYbum5DKSKEfYYKqhDaTEpfVGTQj2xLHL2jdQZD&#10;lK6U2uEtwk0j0yT5lAZrjgsVtpRXVJy2F6Mgdxemr59UTtr1fnBeHu4fZpMr9drvllMQgbrwDP+3&#10;v7WC9B0eX+IPkPM/AAAA//8DAFBLAQItABQABgAIAAAAIQDb4fbL7gAAAIUBAAATAAAAAAAAAAAA&#10;AAAAAAAAAABbQ29udGVudF9UeXBlc10ueG1sUEsBAi0AFAAGAAgAAAAhAFr0LFu/AAAAFQEAAAsA&#10;AAAAAAAAAAAAAAAAHwEAAF9yZWxzLy5yZWxzUEsBAi0AFAAGAAgAAAAhAKO4YmfEAAAA2wAAAA8A&#10;AAAAAAAAAAAAAAAABwIAAGRycy9kb3ducmV2LnhtbFBLBQYAAAAAAwADALcAAAD4AgAAAAA=&#10;" strokeweight="1.75pt">
                                <v:stroke endcap="round"/>
                              </v:line>
                            </v:group>
                            <v:group id="组合 24" o:spid="_x0000_s1035" style="position:absolute;left:1841;top:3556;width:2096;height:2413" coordsize="257175,3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15" o:spid="_x0000_s1036" style="position:absolute;width:212724;height:21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PwgAAANsAAAAPAAAAZHJzL2Rvd25yZXYueG1sRI/dasJA&#10;FITvC77DcgTv6kalRaKriFjoTQtVH+CQPWaD2bNxf5L07buFQi+HmfmG2e5H24qefGgcK1jMCxDE&#10;ldMN1wqul7fnNYgQkTW2jknBNwXY7yZPWyy1G/iL+nOsRYZwKFGBibErpQyVIYth7jri7N2ctxiz&#10;9LXUHocMt61cFsWrtNhwXjDY0dFQdT8nq+CW7o8+PNL1Y1V9LoaDTObkk1Kz6XjYgIg0xv/wX/td&#10;K1i+wO+X/APk7gcAAP//AwBQSwECLQAUAAYACAAAACEA2+H2y+4AAACFAQAAEwAAAAAAAAAAAAAA&#10;AAAAAAAAW0NvbnRlbnRfVHlwZXNdLnhtbFBLAQItABQABgAIAAAAIQBa9CxbvwAAABUBAAALAAAA&#10;AAAAAAAAAAAAAB8BAABfcmVscy8ucmVsc1BLAQItABQABgAIAAAAIQD+zyKPwgAAANsAAAAPAAAA&#10;AAAAAAAAAAAAAAcCAABkcnMvZG93bnJldi54bWxQSwUGAAAAAAMAAwC3AAAA9gIAAAAA&#10;" filled="f" strokeweight="1.75pt">
                                <v:stroke joinstyle="miter"/>
                              </v:oval>
                              <v:line id="Line 216" o:spid="_x0000_s1037" style="position:absolute;visibility:visible;mso-wrap-style:square" from="171450,203200" to="257175,32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GUxAAAANsAAAAPAAAAZHJzL2Rvd25yZXYueG1sRI/RasJA&#10;FETfC/7DcoW+1Y0WQomuogWhfWggmg+4ZK/JYvZuzG6T6Nd3C4U+DjNzhtnsJtuKgXpvHCtYLhIQ&#10;xJXThmsF5fn48gbCB2SNrWNScCcPu+3saYOZdiMXNJxCLSKEfYYKmhC6TEpfNWTRL1xHHL2L6y2G&#10;KPta6h7HCLetXCVJKi0ajgsNdvTeUHU9fVsFZroeTFeYR2nL26ccyvz4+pUr9Tyf9msQgabwH/5r&#10;f2gFqxR+v8QfILc/AAAA//8DAFBLAQItABQABgAIAAAAIQDb4fbL7gAAAIUBAAATAAAAAAAAAAAA&#10;AAAAAAAAAABbQ29udGVudF9UeXBlc10ueG1sUEsBAi0AFAAGAAgAAAAhAFr0LFu/AAAAFQEAAAsA&#10;AAAAAAAAAAAAAAAAHwEAAF9yZWxzLy5yZWxzUEsBAi0AFAAGAAgAAAAhAFq0wZTEAAAA2wAAAA8A&#10;AAAAAAAAAAAAAAAABwIAAGRycy9kb3ducmV2LnhtbFBLBQYAAAAAAwADALcAAAD4AgAAAAA=&#10;" strokeweight="1.75pt">
                                <v:stroke joinstyle="miter" endcap="round"/>
                              </v:line>
                            </v:group>
                          </v:group>
                        </w:pict>
                      </mc:Fallback>
                    </mc:AlternateContent>
                  </w:r>
                </w:p>
              </w:tc>
              <w:tc>
                <w:tcPr>
                  <w:tcW w:w="1990" w:type="dxa"/>
                  <w:tcBorders>
                    <w:right w:val="nil"/>
                  </w:tcBorders>
                  <w:vAlign w:val="center"/>
                </w:tcPr>
                <w:p w14:paraId="0ECDD730" w14:textId="77777777" w:rsidR="008F265F" w:rsidRDefault="00A542E4">
                  <w:pPr>
                    <w:spacing w:line="280" w:lineRule="exact"/>
                    <w:rPr>
                      <w:rFonts w:ascii="宋体" w:eastAsia="仿宋_GB2312" w:hAnsi="宋体"/>
                      <w:b/>
                    </w:rPr>
                  </w:pPr>
                  <w:r>
                    <w:rPr>
                      <w:rFonts w:ascii="宋体" w:eastAsia="仿宋_GB2312" w:hAnsi="宋体"/>
                      <w:b/>
                    </w:rPr>
                    <w:t>第</w:t>
                  </w:r>
                  <w:r>
                    <w:rPr>
                      <w:rFonts w:ascii="宋体" w:eastAsia="仿宋_GB2312" w:hAnsi="宋体" w:hint="eastAsia"/>
                      <w:b/>
                    </w:rPr>
                    <w:t>七</w:t>
                  </w:r>
                  <w:r>
                    <w:rPr>
                      <w:rFonts w:ascii="宋体" w:eastAsia="仿宋_GB2312" w:hAnsi="宋体"/>
                      <w:b/>
                    </w:rPr>
                    <w:t>章</w:t>
                  </w:r>
                </w:p>
                <w:p w14:paraId="09C4F773" w14:textId="77777777" w:rsidR="008F265F" w:rsidRDefault="00A542E4">
                  <w:pPr>
                    <w:spacing w:line="280" w:lineRule="exact"/>
                    <w:rPr>
                      <w:rFonts w:ascii="宋体" w:eastAsia="仿宋_GB2312" w:hAnsi="宋体"/>
                      <w:b/>
                    </w:rPr>
                  </w:pPr>
                  <w:r>
                    <w:rPr>
                      <w:rFonts w:ascii="宋体" w:eastAsia="仿宋_GB2312" w:hAnsi="宋体"/>
                      <w:b/>
                    </w:rPr>
                    <w:t>需关注的其他内容</w:t>
                  </w:r>
                </w:p>
              </w:tc>
              <w:tc>
                <w:tcPr>
                  <w:tcW w:w="6657" w:type="dxa"/>
                  <w:tcBorders>
                    <w:left w:val="nil"/>
                  </w:tcBorders>
                </w:tcPr>
                <w:p w14:paraId="6455B44B"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二十</w:t>
                  </w:r>
                  <w:r>
                    <w:rPr>
                      <w:rFonts w:ascii="宋体" w:eastAsia="仿宋_GB2312" w:hAnsi="宋体"/>
                    </w:rPr>
                    <w:t>条</w:t>
                  </w:r>
                  <w:r>
                    <w:rPr>
                      <w:rFonts w:ascii="宋体" w:eastAsia="仿宋_GB2312" w:hAnsi="宋体"/>
                    </w:rPr>
                    <w:t xml:space="preserve">  </w:t>
                  </w:r>
                  <w:r>
                    <w:rPr>
                      <w:rFonts w:ascii="宋体" w:eastAsia="仿宋_GB2312" w:hAnsi="宋体"/>
                    </w:rPr>
                    <w:t>合同构成</w:t>
                  </w:r>
                </w:p>
                <w:p w14:paraId="46F27FF5"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二十一</w:t>
                  </w:r>
                  <w:r>
                    <w:rPr>
                      <w:rFonts w:ascii="宋体" w:eastAsia="仿宋_GB2312" w:hAnsi="宋体"/>
                    </w:rPr>
                    <w:t>条</w:t>
                  </w:r>
                  <w:r>
                    <w:rPr>
                      <w:rFonts w:ascii="宋体" w:eastAsia="仿宋_GB2312" w:hAnsi="宋体"/>
                    </w:rPr>
                    <w:t xml:space="preserve">  </w:t>
                  </w:r>
                  <w:r>
                    <w:rPr>
                      <w:rFonts w:ascii="宋体" w:eastAsia="仿宋_GB2312" w:hAnsi="宋体" w:hint="eastAsia"/>
                    </w:rPr>
                    <w:t>合同成立与生效</w:t>
                  </w:r>
                </w:p>
                <w:p w14:paraId="6023A442" w14:textId="77777777" w:rsidR="008F265F" w:rsidRDefault="00A542E4">
                  <w:pPr>
                    <w:spacing w:line="280" w:lineRule="exact"/>
                    <w:rPr>
                      <w:rFonts w:ascii="宋体" w:eastAsia="仿宋_GB2312" w:hAnsi="宋体"/>
                    </w:rPr>
                  </w:pPr>
                  <w:r>
                    <w:rPr>
                      <w:rFonts w:ascii="宋体" w:eastAsia="仿宋_GB2312" w:hAnsi="宋体"/>
                    </w:rPr>
                    <w:t>第二十二条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未成年人身故保险金限制</w:t>
                  </w:r>
                </w:p>
                <w:p w14:paraId="5261520A" w14:textId="77777777" w:rsidR="008F265F" w:rsidRDefault="00A542E4">
                  <w:pPr>
                    <w:spacing w:line="280" w:lineRule="exact"/>
                    <w:rPr>
                      <w:rFonts w:ascii="宋体" w:eastAsia="仿宋_GB2312" w:hAnsi="宋体"/>
                    </w:rPr>
                  </w:pPr>
                  <w:r>
                    <w:rPr>
                      <w:rFonts w:ascii="宋体" w:eastAsia="仿宋_GB2312" w:hAnsi="宋体"/>
                    </w:rPr>
                    <w:t>第二十三条</w:t>
                  </w:r>
                  <w:r>
                    <w:rPr>
                      <w:rFonts w:ascii="宋体" w:eastAsia="仿宋_GB2312" w:hAnsi="宋体"/>
                    </w:rPr>
                    <w:t xml:space="preserve">  </w:t>
                  </w:r>
                  <w:r>
                    <w:rPr>
                      <w:rFonts w:ascii="宋体" w:eastAsia="仿宋_GB2312" w:hAnsi="宋体" w:hint="eastAsia"/>
                    </w:rPr>
                    <w:t>明确</w:t>
                  </w:r>
                  <w:r>
                    <w:rPr>
                      <w:rFonts w:ascii="宋体" w:eastAsia="仿宋_GB2312" w:hAnsi="宋体"/>
                    </w:rPr>
                    <w:t>说明与如实告知</w:t>
                  </w:r>
                </w:p>
                <w:p w14:paraId="7A953035" w14:textId="77777777" w:rsidR="008F265F" w:rsidRDefault="00A542E4">
                  <w:pPr>
                    <w:spacing w:line="280" w:lineRule="exact"/>
                    <w:rPr>
                      <w:rFonts w:ascii="宋体" w:eastAsia="仿宋_GB2312" w:hAnsi="宋体"/>
                    </w:rPr>
                  </w:pPr>
                  <w:r>
                    <w:rPr>
                      <w:rFonts w:ascii="宋体" w:eastAsia="仿宋_GB2312" w:hAnsi="宋体"/>
                    </w:rPr>
                    <w:t>第二</w:t>
                  </w:r>
                  <w:r>
                    <w:rPr>
                      <w:rFonts w:ascii="宋体" w:eastAsia="仿宋_GB2312" w:hAnsi="宋体" w:hint="eastAsia"/>
                    </w:rPr>
                    <w:t>十四</w:t>
                  </w:r>
                  <w:r>
                    <w:rPr>
                      <w:rFonts w:ascii="宋体" w:eastAsia="仿宋_GB2312" w:hAnsi="宋体"/>
                    </w:rPr>
                    <w:t>条</w:t>
                  </w:r>
                  <w:r>
                    <w:rPr>
                      <w:rFonts w:ascii="宋体" w:eastAsia="仿宋_GB2312" w:hAnsi="宋体"/>
                    </w:rPr>
                    <w:t xml:space="preserve">  </w:t>
                  </w:r>
                  <w:r>
                    <w:rPr>
                      <w:rFonts w:ascii="宋体" w:eastAsia="仿宋_GB2312" w:hAnsi="宋体" w:hint="eastAsia"/>
                    </w:rPr>
                    <w:t>年龄性别错误的处理</w:t>
                  </w:r>
                </w:p>
                <w:p w14:paraId="486754A5" w14:textId="77777777" w:rsidR="008F265F" w:rsidRDefault="00A542E4">
                  <w:pPr>
                    <w:spacing w:line="280" w:lineRule="exact"/>
                    <w:rPr>
                      <w:rFonts w:ascii="宋体" w:eastAsia="仿宋_GB2312" w:hAnsi="宋体"/>
                    </w:rPr>
                  </w:pPr>
                  <w:r>
                    <w:rPr>
                      <w:rFonts w:ascii="宋体" w:eastAsia="仿宋_GB2312" w:hAnsi="宋体"/>
                    </w:rPr>
                    <w:t>第二</w:t>
                  </w:r>
                  <w:r>
                    <w:rPr>
                      <w:rFonts w:ascii="宋体" w:eastAsia="仿宋_GB2312" w:hAnsi="宋体" w:hint="eastAsia"/>
                    </w:rPr>
                    <w:t>十</w:t>
                  </w:r>
                  <w:r>
                    <w:rPr>
                      <w:rFonts w:ascii="宋体" w:eastAsia="仿宋_GB2312" w:hAnsi="宋体"/>
                    </w:rPr>
                    <w:t>五条</w:t>
                  </w:r>
                  <w:r>
                    <w:rPr>
                      <w:rFonts w:ascii="宋体" w:eastAsia="仿宋_GB2312" w:hAnsi="宋体"/>
                    </w:rPr>
                    <w:t xml:space="preserve">  </w:t>
                  </w:r>
                  <w:r>
                    <w:rPr>
                      <w:rFonts w:ascii="宋体" w:eastAsia="仿宋_GB2312" w:hAnsi="宋体"/>
                    </w:rPr>
                    <w:t>未还款项</w:t>
                  </w:r>
                </w:p>
                <w:p w14:paraId="3F270D4A" w14:textId="77777777" w:rsidR="008F265F" w:rsidRDefault="00A542E4">
                  <w:pPr>
                    <w:spacing w:line="280" w:lineRule="exact"/>
                    <w:rPr>
                      <w:rFonts w:ascii="宋体" w:eastAsia="仿宋_GB2312" w:hAnsi="宋体"/>
                    </w:rPr>
                  </w:pPr>
                  <w:r>
                    <w:rPr>
                      <w:rFonts w:ascii="宋体" w:eastAsia="仿宋_GB2312" w:hAnsi="宋体"/>
                    </w:rPr>
                    <w:t>第二</w:t>
                  </w:r>
                  <w:r>
                    <w:rPr>
                      <w:rFonts w:ascii="宋体" w:eastAsia="仿宋_GB2312" w:hAnsi="宋体" w:hint="eastAsia"/>
                    </w:rPr>
                    <w:t>十</w:t>
                  </w:r>
                  <w:r>
                    <w:rPr>
                      <w:rFonts w:ascii="宋体" w:eastAsia="仿宋_GB2312" w:hAnsi="宋体"/>
                    </w:rPr>
                    <w:t>六条</w:t>
                  </w:r>
                  <w:r>
                    <w:rPr>
                      <w:rFonts w:ascii="宋体" w:eastAsia="仿宋_GB2312" w:hAnsi="宋体"/>
                    </w:rPr>
                    <w:t xml:space="preserve">  </w:t>
                  </w:r>
                  <w:r>
                    <w:rPr>
                      <w:rFonts w:ascii="宋体" w:eastAsia="仿宋_GB2312" w:hAnsi="宋体" w:hint="eastAsia"/>
                    </w:rPr>
                    <w:t>合同内容变更</w:t>
                  </w:r>
                </w:p>
                <w:p w14:paraId="5835B76F"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二十</w:t>
                  </w:r>
                  <w:r>
                    <w:rPr>
                      <w:rFonts w:ascii="宋体" w:eastAsia="仿宋_GB2312" w:hAnsi="宋体"/>
                    </w:rPr>
                    <w:t>七条</w:t>
                  </w:r>
                  <w:r>
                    <w:rPr>
                      <w:rFonts w:ascii="宋体" w:eastAsia="仿宋_GB2312" w:hAnsi="宋体"/>
                    </w:rPr>
                    <w:t xml:space="preserve">  </w:t>
                  </w:r>
                  <w:r>
                    <w:rPr>
                      <w:rFonts w:ascii="宋体" w:eastAsia="仿宋_GB2312" w:hAnsi="宋体"/>
                    </w:rPr>
                    <w:t>联系方式变更</w:t>
                  </w:r>
                </w:p>
                <w:p w14:paraId="1FCAF837" w14:textId="77777777" w:rsidR="008F265F" w:rsidRDefault="00A542E4">
                  <w:pPr>
                    <w:spacing w:line="280" w:lineRule="exact"/>
                    <w:rPr>
                      <w:rFonts w:ascii="宋体" w:eastAsia="仿宋_GB2312" w:hAnsi="宋体"/>
                    </w:rPr>
                  </w:pPr>
                  <w:r>
                    <w:rPr>
                      <w:rFonts w:ascii="宋体" w:eastAsia="仿宋_GB2312" w:hAnsi="宋体"/>
                    </w:rPr>
                    <w:t>第二十八条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争议处理</w:t>
                  </w:r>
                </w:p>
              </w:tc>
            </w:tr>
            <w:tr w:rsidR="008F265F" w14:paraId="77E94793" w14:textId="77777777">
              <w:trPr>
                <w:trHeight w:hRule="exact" w:val="340"/>
              </w:trPr>
              <w:tc>
                <w:tcPr>
                  <w:tcW w:w="1006" w:type="dxa"/>
                  <w:tcBorders>
                    <w:top w:val="nil"/>
                    <w:left w:val="nil"/>
                    <w:bottom w:val="nil"/>
                    <w:right w:val="nil"/>
                  </w:tcBorders>
                  <w:vAlign w:val="center"/>
                </w:tcPr>
                <w:p w14:paraId="66DA6951" w14:textId="77777777" w:rsidR="008F265F" w:rsidRDefault="008F265F">
                  <w:pPr>
                    <w:spacing w:line="280" w:lineRule="exact"/>
                    <w:ind w:firstLineChars="200" w:firstLine="420"/>
                    <w:rPr>
                      <w:rFonts w:ascii="宋体" w:eastAsia="仿宋_GB2312" w:hAnsi="宋体"/>
                    </w:rPr>
                  </w:pPr>
                </w:p>
              </w:tc>
              <w:tc>
                <w:tcPr>
                  <w:tcW w:w="1990" w:type="dxa"/>
                  <w:tcBorders>
                    <w:left w:val="nil"/>
                    <w:right w:val="nil"/>
                  </w:tcBorders>
                  <w:vAlign w:val="center"/>
                </w:tcPr>
                <w:p w14:paraId="64074242" w14:textId="77777777" w:rsidR="008F265F" w:rsidRDefault="008F265F">
                  <w:pPr>
                    <w:spacing w:line="280" w:lineRule="exact"/>
                    <w:rPr>
                      <w:rFonts w:ascii="宋体" w:eastAsia="仿宋_GB2312" w:hAnsi="宋体"/>
                      <w:b/>
                    </w:rPr>
                  </w:pPr>
                </w:p>
              </w:tc>
              <w:tc>
                <w:tcPr>
                  <w:tcW w:w="6657" w:type="dxa"/>
                  <w:tcBorders>
                    <w:left w:val="nil"/>
                    <w:right w:val="nil"/>
                  </w:tcBorders>
                  <w:vAlign w:val="center"/>
                </w:tcPr>
                <w:p w14:paraId="0585C528" w14:textId="77777777" w:rsidR="008F265F" w:rsidRDefault="008F265F">
                  <w:pPr>
                    <w:spacing w:line="280" w:lineRule="exact"/>
                    <w:rPr>
                      <w:rFonts w:ascii="宋体" w:eastAsia="仿宋_GB2312" w:hAnsi="宋体"/>
                    </w:rPr>
                  </w:pPr>
                </w:p>
              </w:tc>
            </w:tr>
            <w:tr w:rsidR="008F265F" w14:paraId="3836E9F4" w14:textId="77777777">
              <w:trPr>
                <w:trHeight w:val="340"/>
              </w:trPr>
              <w:tc>
                <w:tcPr>
                  <w:tcW w:w="1006" w:type="dxa"/>
                  <w:tcBorders>
                    <w:top w:val="nil"/>
                    <w:left w:val="nil"/>
                    <w:bottom w:val="nil"/>
                  </w:tcBorders>
                </w:tcPr>
                <w:p w14:paraId="4B6BCD82" w14:textId="77777777" w:rsidR="008F265F" w:rsidRDefault="00A542E4">
                  <w:pPr>
                    <w:spacing w:line="280" w:lineRule="exact"/>
                    <w:rPr>
                      <w:rFonts w:ascii="宋体" w:eastAsia="仿宋_GB2312" w:hAnsi="宋体"/>
                    </w:rPr>
                  </w:pPr>
                  <w:r>
                    <w:rPr>
                      <w:rFonts w:ascii="宋体" w:eastAsia="仿宋_GB2312" w:hAnsi="宋体"/>
                      <w:noProof/>
                    </w:rPr>
                    <mc:AlternateContent>
                      <mc:Choice Requires="wpg">
                        <w:drawing>
                          <wp:anchor distT="0" distB="0" distL="114300" distR="114300" simplePos="0" relativeHeight="251670528" behindDoc="0" locked="0" layoutInCell="1" allowOverlap="1" wp14:anchorId="658BD4E4" wp14:editId="407324FE">
                            <wp:simplePos x="0" y="0"/>
                            <wp:positionH relativeFrom="column">
                              <wp:posOffset>85725</wp:posOffset>
                            </wp:positionH>
                            <wp:positionV relativeFrom="paragraph">
                              <wp:posOffset>104775</wp:posOffset>
                            </wp:positionV>
                            <wp:extent cx="397510" cy="359410"/>
                            <wp:effectExtent l="0" t="0" r="21590" b="21590"/>
                            <wp:wrapNone/>
                            <wp:docPr id="115" name="组合 115"/>
                            <wp:cNvGraphicFramePr/>
                            <a:graphic xmlns:a="http://schemas.openxmlformats.org/drawingml/2006/main">
                              <a:graphicData uri="http://schemas.microsoft.com/office/word/2010/wordprocessingGroup">
                                <wpg:wgp>
                                  <wpg:cNvGrpSpPr/>
                                  <wpg:grpSpPr>
                                    <a:xfrm>
                                      <a:off x="0" y="0"/>
                                      <a:ext cx="397510" cy="359410"/>
                                      <a:chOff x="0" y="0"/>
                                      <a:chExt cx="554038" cy="555625"/>
                                    </a:xfrm>
                                  </wpg:grpSpPr>
                                  <wps:wsp>
                                    <wps:cNvPr id="240" name="Freeform 204"/>
                                    <wps:cNvSpPr/>
                                    <wps:spPr bwMode="auto">
                                      <a:xfrm>
                                        <a:off x="133350" y="57150"/>
                                        <a:ext cx="274638" cy="273050"/>
                                      </a:xfrm>
                                      <a:custGeom>
                                        <a:avLst/>
                                        <a:gdLst>
                                          <a:gd name="T0" fmla="*/ 70 w 173"/>
                                          <a:gd name="T1" fmla="*/ 142 h 172"/>
                                          <a:gd name="T2" fmla="*/ 0 w 173"/>
                                          <a:gd name="T3" fmla="*/ 172 h 172"/>
                                          <a:gd name="T4" fmla="*/ 31 w 173"/>
                                          <a:gd name="T5" fmla="*/ 104 h 172"/>
                                          <a:gd name="T6" fmla="*/ 135 w 173"/>
                                          <a:gd name="T7" fmla="*/ 0 h 172"/>
                                          <a:gd name="T8" fmla="*/ 173 w 173"/>
                                          <a:gd name="T9" fmla="*/ 39 h 172"/>
                                          <a:gd name="T10" fmla="*/ 70 w 173"/>
                                          <a:gd name="T11" fmla="*/ 142 h 172"/>
                                        </a:gdLst>
                                        <a:ahLst/>
                                        <a:cxnLst>
                                          <a:cxn ang="0">
                                            <a:pos x="T0" y="T1"/>
                                          </a:cxn>
                                          <a:cxn ang="0">
                                            <a:pos x="T2" y="T3"/>
                                          </a:cxn>
                                          <a:cxn ang="0">
                                            <a:pos x="T4" y="T5"/>
                                          </a:cxn>
                                          <a:cxn ang="0">
                                            <a:pos x="T6" y="T7"/>
                                          </a:cxn>
                                          <a:cxn ang="0">
                                            <a:pos x="T8" y="T9"/>
                                          </a:cxn>
                                          <a:cxn ang="0">
                                            <a:pos x="T10" y="T11"/>
                                          </a:cxn>
                                        </a:cxnLst>
                                        <a:rect l="0" t="0" r="r" b="b"/>
                                        <a:pathLst>
                                          <a:path w="173" h="172">
                                            <a:moveTo>
                                              <a:pt x="70" y="142"/>
                                            </a:moveTo>
                                            <a:lnTo>
                                              <a:pt x="0" y="172"/>
                                            </a:lnTo>
                                            <a:lnTo>
                                              <a:pt x="31" y="104"/>
                                            </a:lnTo>
                                            <a:lnTo>
                                              <a:pt x="135" y="0"/>
                                            </a:lnTo>
                                            <a:lnTo>
                                              <a:pt x="173" y="39"/>
                                            </a:lnTo>
                                            <a:lnTo>
                                              <a:pt x="70" y="142"/>
                                            </a:lnTo>
                                            <a:close/>
                                          </a:path>
                                        </a:pathLst>
                                      </a:custGeom>
                                      <a:noFill/>
                                      <a:ln w="23813" cap="rnd">
                                        <a:solidFill>
                                          <a:srgbClr val="000000"/>
                                        </a:solidFill>
                                        <a:prstDash val="solid"/>
                                        <a:round/>
                                      </a:ln>
                                    </wps:spPr>
                                    <wps:bodyPr vert="horz" wrap="square" lIns="91440" tIns="45720" rIns="91440" bIns="45720" numCol="1" anchor="t" anchorCtr="0" compatLnSpc="1"/>
                                  </wps:wsp>
                                  <wps:wsp>
                                    <wps:cNvPr id="114" name="Freeform 206"/>
                                    <wps:cNvSpPr/>
                                    <wps:spPr bwMode="auto">
                                      <a:xfrm>
                                        <a:off x="0" y="0"/>
                                        <a:ext cx="554038" cy="555625"/>
                                      </a:xfrm>
                                      <a:custGeom>
                                        <a:avLst/>
                                        <a:gdLst>
                                          <a:gd name="T0" fmla="*/ 167 w 192"/>
                                          <a:gd name="T1" fmla="*/ 0 h 192"/>
                                          <a:gd name="T2" fmla="*/ 25 w 192"/>
                                          <a:gd name="T3" fmla="*/ 0 h 192"/>
                                          <a:gd name="T4" fmla="*/ 0 w 192"/>
                                          <a:gd name="T5" fmla="*/ 25 h 192"/>
                                          <a:gd name="T6" fmla="*/ 0 w 192"/>
                                          <a:gd name="T7" fmla="*/ 119 h 192"/>
                                          <a:gd name="T8" fmla="*/ 25 w 192"/>
                                          <a:gd name="T9" fmla="*/ 143 h 192"/>
                                          <a:gd name="T10" fmla="*/ 33 w 192"/>
                                          <a:gd name="T11" fmla="*/ 143 h 192"/>
                                          <a:gd name="T12" fmla="*/ 46 w 192"/>
                                          <a:gd name="T13" fmla="*/ 192 h 192"/>
                                          <a:gd name="T14" fmla="*/ 72 w 192"/>
                                          <a:gd name="T15" fmla="*/ 143 h 192"/>
                                          <a:gd name="T16" fmla="*/ 167 w 192"/>
                                          <a:gd name="T17" fmla="*/ 143 h 192"/>
                                          <a:gd name="T18" fmla="*/ 192 w 192"/>
                                          <a:gd name="T19" fmla="*/ 119 h 192"/>
                                          <a:gd name="T20" fmla="*/ 192 w 192"/>
                                          <a:gd name="T21" fmla="*/ 25 h 192"/>
                                          <a:gd name="T22" fmla="*/ 167 w 192"/>
                                          <a:gd name="T2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2" h="192">
                                            <a:moveTo>
                                              <a:pt x="167" y="0"/>
                                            </a:moveTo>
                                            <a:cubicBezTo>
                                              <a:pt x="25" y="0"/>
                                              <a:pt x="25" y="0"/>
                                              <a:pt x="25" y="0"/>
                                            </a:cubicBezTo>
                                            <a:cubicBezTo>
                                              <a:pt x="11" y="0"/>
                                              <a:pt x="0" y="11"/>
                                              <a:pt x="0" y="25"/>
                                            </a:cubicBezTo>
                                            <a:cubicBezTo>
                                              <a:pt x="0" y="119"/>
                                              <a:pt x="0" y="119"/>
                                              <a:pt x="0" y="119"/>
                                            </a:cubicBezTo>
                                            <a:cubicBezTo>
                                              <a:pt x="0" y="132"/>
                                              <a:pt x="11" y="143"/>
                                              <a:pt x="25" y="143"/>
                                            </a:cubicBezTo>
                                            <a:cubicBezTo>
                                              <a:pt x="33" y="143"/>
                                              <a:pt x="33" y="143"/>
                                              <a:pt x="33" y="143"/>
                                            </a:cubicBezTo>
                                            <a:cubicBezTo>
                                              <a:pt x="30" y="156"/>
                                              <a:pt x="28" y="175"/>
                                              <a:pt x="46" y="192"/>
                                            </a:cubicBezTo>
                                            <a:cubicBezTo>
                                              <a:pt x="46" y="192"/>
                                              <a:pt x="55" y="163"/>
                                              <a:pt x="72" y="143"/>
                                            </a:cubicBezTo>
                                            <a:cubicBezTo>
                                              <a:pt x="167" y="143"/>
                                              <a:pt x="167" y="143"/>
                                              <a:pt x="167" y="143"/>
                                            </a:cubicBezTo>
                                            <a:cubicBezTo>
                                              <a:pt x="181" y="143"/>
                                              <a:pt x="192" y="132"/>
                                              <a:pt x="192" y="119"/>
                                            </a:cubicBezTo>
                                            <a:cubicBezTo>
                                              <a:pt x="192" y="25"/>
                                              <a:pt x="192" y="25"/>
                                              <a:pt x="192" y="25"/>
                                            </a:cubicBezTo>
                                            <a:cubicBezTo>
                                              <a:pt x="192" y="11"/>
                                              <a:pt x="181" y="0"/>
                                              <a:pt x="167" y="0"/>
                                            </a:cubicBezTo>
                                            <a:close/>
                                          </a:path>
                                        </a:pathLst>
                                      </a:custGeom>
                                      <a:noFill/>
                                      <a:ln w="23813" cap="flat">
                                        <a:solidFill>
                                          <a:srgbClr val="000000"/>
                                        </a:solidFill>
                                        <a:prstDash val="solid"/>
                                        <a:round/>
                                      </a:ln>
                                    </wps:spPr>
                                    <wps:bodyPr vert="horz" wrap="square" lIns="91440" tIns="45720" rIns="91440" bIns="45720" numCol="1" anchor="t" anchorCtr="0" compatLnSpc="1"/>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3236A5E" id="组合 115" o:spid="_x0000_s1026" style="position:absolute;left:0;text-align:left;margin-left:6.75pt;margin-top:8.25pt;width:31.3pt;height:28.3pt;z-index:251670528" coordsize="5540,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yTWwUAALwVAAAOAAAAZHJzL2Uyb0RvYy54bWzsWF1vq0YQfa/U/4B4rNRrLx8mtuJcqUkT&#10;Vbptr5T0B6wBG0vA0l0cJ/fXd2Z2Fy82JCht324eAuweDjNnhpnB159fqtJ7zqXai3rts09z38vr&#10;VGT7erf2/3q6//nK91TL64yXos7X/muu/M83P/5wfWxWeSAKUWa59ICkVqtjs/aLtm1Ws5lKi7zi&#10;6pNo8ho2t0JWvIVLuZtlkh+BvSpnwXy+mB2FzBop0lwpWL3Tm/4N8W+3edr+ud2qvPXKtQ+2tfRf&#10;0v8N/p/dXPPVTvKm2KfGDP4BKyq+r+GhHdUdb7l3kPsLqmqfSqHEtv2Uimomttt9mpMP4A2bn3nz&#10;IMWhIV92q+Ou6WQCac90+jBt+sfzg2wem68SlDg2O9CCrtCXl62s8AhWei8k2WsnWf7Seikshssk&#10;ZiBsClthvIzgnCRNC9D94q60+NXcF8fRPITcwPviOF4EMd43sw+d9Uw5NpAc6uS/+nf+Pxa8yUlW&#10;tQL/v0pvn639IAI3al5Bkt7LPMeU84J5hGbh8wHYqaRWCgTzNsffRQZwfmgFBf9MMBaGYQyk6GLC&#10;4IyUscoFSbSwCgRJONf7nQJ8lR5U+5ALCgF//qJaun2XwRllWmasfYJHbKsS0vanmZfMvaPHklA/&#10;a9dhmINhUeAVAArOQYEDGuEJHQgwDPNEDihkwwbFDobNo2GihQsK42GmxAHNh3kg0TqFQJxhnqUD&#10;CpfDRJjqHdOo1qNiQ3S7+PHChjR9qU1M4czjWDnnlE+NUPgKYYAhh54YxgsoAIUJMAKGICKYMuBd&#10;MEQKwfble5sZooHgZJIZIDmCl5PAKCuiWc9Fbb2RRkIpPy/i0vegiG90Gje8RUVRGTz1jtCO4D3w&#10;CjwGpGclnvMnQYgWhU30Y+F9MFaeAGXtAg1OvzFglt21x4boQog7eAHZbOjstj1qGAsh9wFH9WCU&#10;jGwHVGgVtCT2qMkuXLDbaSlUrvMF5aDE6SRCZZ3qUov7fVlSeSlrFC4IrxhIl3LoyLLOSDwlyn2G&#10;ONRPyd3mtpTeM8e+Sn/G5x6skaq946rQONrSwYLGVmfauhKSGcq9rqm61m5E9gr1FcYK6NeFkN98&#10;7wgteu2rvw9c5r5X/lZDD1iyCGt2SxdRnARwId2djbtTH6pbAdZCkHidAuvab+3pbatHAujJoNGX&#10;+rFJEYgGmt6jDfvfmxBj8EZeNKEFWvLBJqRT96z3vNN9+9kxufewRYKVdXnRV9x6SBX6EuK2noAK&#10;/SXG7T0jNG7noQ52yeI2HngSNMJLjNt3RmjcrsMYtYtLHrfvjHnlth0WhcMG9fpOSA3s8mlQPU/N&#10;aZzKlTpajETM1RoEGrHKlRuGgeHgu4KPW+VKPp5IPdVHxXJlR+OH7eoJPxZBrCldwx/lClzlx5Iq&#10;cIUfdTFwlXeyHEr299FhYDYaHh1GpyMGQaBJY9p8hOWY4NMmJGZGJDZtRmJmSGK2x789f2EuojGQ&#10;bbp1vgM3rkJGOXBs/d28+aGhCgoPDVVwxFHgNDOZ8WYBLymYaceb03562OzTX/Jv7mQF330dGAY3&#10;mqPeW6PpxaUaIsZiaK2wxFo/PWT217rPzz5V/0pbZ0koZn0W6AMo9eDiJKMNd2g6qBFUewKl0yU3&#10;IpnVSewhlBaQ5Ixoyuo0emN9TOOKFSHQOc4SeoPsaqRfFNN6J9H3b7FEsc4ftuiJA4O64+kkeijI&#10;7j2Wf9rytCdcDQYSNSBjz6Jul0/Foff6DKWmpdLZ3LlgmN5aneZAZ5KbiMy4ZUbM4SLQt/Y/+zbZ&#10;lrz9/nHS0GcK/URIn3nm50z8DdK9JtTpR9ebfwAAAP//AwBQSwMEFAAGAAgAAAAhAMkNhFHbAAAA&#10;BwEAAA8AAABkcnMvZG93bnJldi54bWxMjkFLw0AUhO+C/2F5gje7WUOjxGxKKeqpCLaCeHvNviah&#10;2d2Q3Sbpv/d5sqdhmGHmK1az7cRIQ2i906AWCQhylTetqzV87d8enkGEiM5g5x1puFCAVXl7U2Bu&#10;/OQ+adzFWvCICzlqaGLscylD1ZDFsPA9Oc6OfrAY2Q61NANOPG47+ZgkmbTYOn5osKdNQ9Vpd7Ya&#10;3iec1ql6Hben4+bys19+fG8VaX1/N69fQESa438Z/vAZHUpmOvizM0F07NMlN1kzVs6fMgXiwJoq&#10;kGUhr/nLXwAAAP//AwBQSwECLQAUAAYACAAAACEAtoM4kv4AAADhAQAAEwAAAAAAAAAAAAAAAAAA&#10;AAAAW0NvbnRlbnRfVHlwZXNdLnhtbFBLAQItABQABgAIAAAAIQA4/SH/1gAAAJQBAAALAAAAAAAA&#10;AAAAAAAAAC8BAABfcmVscy8ucmVsc1BLAQItABQABgAIAAAAIQBH/3yTWwUAALwVAAAOAAAAAAAA&#10;AAAAAAAAAC4CAABkcnMvZTJvRG9jLnhtbFBLAQItABQABgAIAAAAIQDJDYRR2wAAAAcBAAAPAAAA&#10;AAAAAAAAAAAAALUHAABkcnMvZG93bnJldi54bWxQSwUGAAAAAAQABADzAAAAvQgAAAAA&#10;">
                            <v:shape id="Freeform 204" o:spid="_x0000_s1027" style="position:absolute;left:1333;top:571;width:2746;height:2731;visibility:visible;mso-wrap-style:square;v-text-anchor:top" coordsize="1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0vLwAAAANwAAAAPAAAAZHJzL2Rvd25yZXYueG1sRE/NasJA&#10;EL4LfYdlCr3pRhGR6CpFKJWeNPoAY3a6icnOhuzWpG/fORQ8fnz/2/3oW/WgPtaBDcxnGSjiMtia&#10;nYHr5WO6BhUTssU2MBn4pQj73ctki7kNA5/pUSSnJIRjjgaqlLpc61hW5DHOQkcs3HfoPSaBvdO2&#10;x0HCfasXWbbSHmuWhgo7OlRUNsWPN7D4vPn71705FfPmNhyXJ7fuDs6Yt9fxfQMq0Zie4n/30Ypv&#10;KfPljBwBvfsDAAD//wMAUEsBAi0AFAAGAAgAAAAhANvh9svuAAAAhQEAABMAAAAAAAAAAAAAAAAA&#10;AAAAAFtDb250ZW50X1R5cGVzXS54bWxQSwECLQAUAAYACAAAACEAWvQsW78AAAAVAQAACwAAAAAA&#10;AAAAAAAAAAAfAQAAX3JlbHMvLnJlbHNQSwECLQAUAAYACAAAACEA269Ly8AAAADcAAAADwAAAAAA&#10;AAAAAAAAAAAHAgAAZHJzL2Rvd25yZXYueG1sUEsFBgAAAAADAAMAtwAAAPQCAAAAAA==&#10;" path="m70,142l,172,31,104,135,r38,39l70,142xe" filled="f" strokeweight=".66147mm">
                              <v:stroke endcap="round"/>
                              <v:path arrowok="t" o:connecttype="custom" o:connectlocs="111125,225425;0,273050;49213,165100;214313,0;274638,61913;111125,225425" o:connectangles="0,0,0,0,0,0"/>
                            </v:shape>
                            <v:shape id="Freeform 206" o:spid="_x0000_s1028" style="position:absolute;width:5540;height:5556;visibility:visible;mso-wrap-style:square;v-text-anchor:top" coordsize="1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97BwAAAANwAAAAPAAAAZHJzL2Rvd25yZXYueG1sRE9Li8Iw&#10;EL4L/ocwgjdNfSDSNS2LICx7s4q4t6EZ27DNpDTR1n9vhIW9zcf3nF0+2EY8qPPGsYLFPAFBXDpt&#10;uFJwPh1mWxA+IGtsHJOCJ3nIs/Foh6l2PR/pUYRKxBD2KSqoQ2hTKX1Zk0U/dy1x5G6usxgi7Cqp&#10;O+xjuG3kMkk20qLh2FBjS/uayt/ibhXstVld+nv/1JfipjdXKn7ct1FqOhk+P0AEGsK/+M/9peP8&#10;xRrez8QLZPYCAAD//wMAUEsBAi0AFAAGAAgAAAAhANvh9svuAAAAhQEAABMAAAAAAAAAAAAAAAAA&#10;AAAAAFtDb250ZW50X1R5cGVzXS54bWxQSwECLQAUAAYACAAAACEAWvQsW78AAAAVAQAACwAAAAAA&#10;AAAAAAAAAAAfAQAAX3JlbHMvLnJlbHNQSwECLQAUAAYACAAAACEAiFPewcAAAADcAAAADwAAAAAA&#10;AAAAAAAAAAAHAgAAZHJzL2Rvd25yZXYueG1sUEsFBgAAAAADAAMAtwAAAPQCAAAAAA==&#10;" path="m167,c25,,25,,25,,11,,,11,,25v,94,,94,,94c,132,11,143,25,143v8,,8,,8,c30,156,28,175,46,192v,,9,-29,26,-49c167,143,167,143,167,143v14,,25,-11,25,-24c192,25,192,25,192,25,192,11,181,,167,xe" filled="f" strokeweight=".66147mm">
                              <v:path arrowok="t" o:connecttype="custom" o:connectlocs="481898,0;72140,0;0,72347;0,344372;72140,413825;95225,413825;132738,555625;207764,413825;481898,413825;554038,344372;554038,72347;481898,0" o:connectangles="0,0,0,0,0,0,0,0,0,0,0,0"/>
                            </v:shape>
                          </v:group>
                        </w:pict>
                      </mc:Fallback>
                    </mc:AlternateContent>
                  </w:r>
                  <w:r>
                    <w:rPr>
                      <w:rFonts w:ascii="宋体" w:eastAsia="仿宋_GB2312" w:hAnsi="宋体"/>
                    </w:rPr>
                    <w:t xml:space="preserve">　　</w:t>
                  </w:r>
                </w:p>
              </w:tc>
              <w:tc>
                <w:tcPr>
                  <w:tcW w:w="1990" w:type="dxa"/>
                  <w:tcBorders>
                    <w:right w:val="nil"/>
                  </w:tcBorders>
                  <w:vAlign w:val="center"/>
                </w:tcPr>
                <w:p w14:paraId="01B7DEDB" w14:textId="77777777" w:rsidR="008F265F" w:rsidRDefault="00A542E4">
                  <w:pPr>
                    <w:spacing w:line="280" w:lineRule="exact"/>
                    <w:rPr>
                      <w:rFonts w:ascii="宋体" w:eastAsia="仿宋_GB2312" w:hAnsi="宋体"/>
                      <w:b/>
                    </w:rPr>
                  </w:pPr>
                  <w:r>
                    <w:rPr>
                      <w:rFonts w:ascii="宋体" w:eastAsia="仿宋_GB2312" w:hAnsi="宋体"/>
                      <w:b/>
                    </w:rPr>
                    <w:t>第</w:t>
                  </w:r>
                  <w:r>
                    <w:rPr>
                      <w:rFonts w:ascii="宋体" w:eastAsia="仿宋_GB2312" w:hAnsi="宋体" w:hint="eastAsia"/>
                      <w:b/>
                    </w:rPr>
                    <w:t>八</w:t>
                  </w:r>
                  <w:r>
                    <w:rPr>
                      <w:rFonts w:ascii="宋体" w:eastAsia="仿宋_GB2312" w:hAnsi="宋体"/>
                      <w:b/>
                    </w:rPr>
                    <w:t>章</w:t>
                  </w:r>
                </w:p>
                <w:p w14:paraId="05ED16E2" w14:textId="77777777" w:rsidR="008F265F" w:rsidRDefault="00A542E4">
                  <w:pPr>
                    <w:spacing w:line="280" w:lineRule="exact"/>
                    <w:rPr>
                      <w:rFonts w:ascii="宋体" w:eastAsia="仿宋_GB2312" w:hAnsi="宋体"/>
                      <w:b/>
                    </w:rPr>
                  </w:pPr>
                  <w:r>
                    <w:rPr>
                      <w:rFonts w:ascii="宋体" w:eastAsia="仿宋_GB2312" w:hAnsi="宋体"/>
                      <w:b/>
                    </w:rPr>
                    <w:t>疾病释义</w:t>
                  </w:r>
                </w:p>
              </w:tc>
              <w:tc>
                <w:tcPr>
                  <w:tcW w:w="6657" w:type="dxa"/>
                  <w:tcBorders>
                    <w:left w:val="nil"/>
                  </w:tcBorders>
                  <w:vAlign w:val="center"/>
                </w:tcPr>
                <w:p w14:paraId="73938CBB" w14:textId="77777777" w:rsidR="008F265F" w:rsidRDefault="00A542E4">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二十</w:t>
                  </w:r>
                  <w:r>
                    <w:rPr>
                      <w:rFonts w:ascii="宋体" w:eastAsia="仿宋_GB2312" w:hAnsi="宋体"/>
                    </w:rPr>
                    <w:t>九条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轻症疾病</w:t>
                  </w:r>
                  <w:r>
                    <w:rPr>
                      <w:rFonts w:ascii="宋体" w:eastAsia="仿宋_GB2312" w:hAnsi="宋体"/>
                    </w:rPr>
                    <w:t>的定义</w:t>
                  </w:r>
                </w:p>
                <w:p w14:paraId="7E8ACE58" w14:textId="77777777" w:rsidR="008F265F" w:rsidRDefault="00A542E4">
                  <w:pPr>
                    <w:spacing w:line="280" w:lineRule="exact"/>
                    <w:rPr>
                      <w:rFonts w:ascii="宋体" w:eastAsia="仿宋_GB2312" w:hAnsi="宋体"/>
                    </w:rPr>
                  </w:pPr>
                  <w:r>
                    <w:rPr>
                      <w:rFonts w:ascii="宋体" w:eastAsia="仿宋_GB2312" w:hAnsi="宋体" w:hint="eastAsia"/>
                    </w:rPr>
                    <w:t>第</w:t>
                  </w:r>
                  <w:r>
                    <w:rPr>
                      <w:rFonts w:ascii="宋体" w:eastAsia="仿宋_GB2312" w:hAnsi="宋体"/>
                    </w:rPr>
                    <w:t>三十</w:t>
                  </w:r>
                  <w:r>
                    <w:rPr>
                      <w:rFonts w:ascii="宋体" w:eastAsia="仿宋_GB2312" w:hAnsi="宋体" w:hint="eastAsia"/>
                    </w:rPr>
                    <w:t>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中症疾病</w:t>
                  </w:r>
                  <w:r>
                    <w:rPr>
                      <w:rFonts w:ascii="宋体" w:eastAsia="仿宋_GB2312" w:hAnsi="宋体" w:hint="eastAsia"/>
                    </w:rPr>
                    <w:t>的定义</w:t>
                  </w:r>
                </w:p>
                <w:p w14:paraId="2E1AF098" w14:textId="77777777" w:rsidR="008F265F" w:rsidRDefault="00A542E4">
                  <w:pPr>
                    <w:spacing w:line="280" w:lineRule="exact"/>
                    <w:rPr>
                      <w:rFonts w:ascii="宋体" w:eastAsia="仿宋_GB2312" w:hAnsi="宋体"/>
                    </w:rPr>
                  </w:pPr>
                  <w:r>
                    <w:rPr>
                      <w:rFonts w:ascii="宋体" w:eastAsia="仿宋_GB2312" w:hAnsi="宋体" w:hint="eastAsia"/>
                    </w:rPr>
                    <w:t>第</w:t>
                  </w:r>
                  <w:r>
                    <w:rPr>
                      <w:rFonts w:ascii="宋体" w:eastAsia="仿宋_GB2312" w:hAnsi="宋体"/>
                    </w:rPr>
                    <w:t>三十一</w:t>
                  </w:r>
                  <w:r>
                    <w:rPr>
                      <w:rFonts w:ascii="宋体" w:eastAsia="仿宋_GB2312" w:hAnsi="宋体" w:hint="eastAsia"/>
                    </w:rPr>
                    <w:t>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重大疾病</w:t>
                  </w:r>
                  <w:r>
                    <w:rPr>
                      <w:rFonts w:ascii="宋体" w:eastAsia="仿宋_GB2312" w:hAnsi="宋体" w:hint="eastAsia"/>
                    </w:rPr>
                    <w:t>的定义</w:t>
                  </w:r>
                </w:p>
                <w:p w14:paraId="5A8CBCFA" w14:textId="77777777" w:rsidR="008F265F" w:rsidRDefault="00A542E4">
                  <w:pPr>
                    <w:spacing w:line="280" w:lineRule="exact"/>
                    <w:rPr>
                      <w:rFonts w:ascii="宋体" w:eastAsia="仿宋_GB2312" w:hAnsi="宋体"/>
                    </w:rPr>
                  </w:pPr>
                  <w:r>
                    <w:rPr>
                      <w:rFonts w:ascii="宋体" w:eastAsia="仿宋_GB2312" w:hAnsi="宋体"/>
                    </w:rPr>
                    <w:t>第三十二条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少儿特定疾病的定义</w:t>
                  </w:r>
                </w:p>
                <w:p w14:paraId="643AA0C7" w14:textId="77777777" w:rsidR="008F265F" w:rsidRDefault="00A542E4">
                  <w:pPr>
                    <w:spacing w:line="280" w:lineRule="exact"/>
                    <w:rPr>
                      <w:rFonts w:ascii="宋体" w:eastAsia="仿宋_GB2312" w:hAnsi="宋体"/>
                    </w:rPr>
                  </w:pPr>
                  <w:r>
                    <w:rPr>
                      <w:rFonts w:ascii="宋体" w:eastAsia="仿宋_GB2312" w:hAnsi="宋体"/>
                    </w:rPr>
                    <w:t>第三十三条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少儿罕见疾病的定义</w:t>
                  </w:r>
                </w:p>
              </w:tc>
            </w:tr>
          </w:tbl>
          <w:p w14:paraId="2DBA128E" w14:textId="77777777" w:rsidR="008F265F" w:rsidRDefault="008F265F">
            <w:pPr>
              <w:spacing w:line="280" w:lineRule="exact"/>
              <w:ind w:firstLineChars="200" w:firstLine="422"/>
              <w:rPr>
                <w:rFonts w:ascii="宋体" w:eastAsia="仿宋_GB2312" w:hAnsi="宋体"/>
                <w:b/>
                <w:bCs/>
                <w:kern w:val="0"/>
                <w:szCs w:val="18"/>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992"/>
              <w:gridCol w:w="6666"/>
            </w:tblGrid>
            <w:tr w:rsidR="008F265F" w14:paraId="0D0D7C08" w14:textId="77777777">
              <w:trPr>
                <w:trHeight w:val="283"/>
              </w:trPr>
              <w:tc>
                <w:tcPr>
                  <w:tcW w:w="1007" w:type="dxa"/>
                  <w:tcBorders>
                    <w:top w:val="nil"/>
                    <w:left w:val="nil"/>
                    <w:bottom w:val="nil"/>
                  </w:tcBorders>
                </w:tcPr>
                <w:p w14:paraId="56668E0D" w14:textId="77777777" w:rsidR="008F265F" w:rsidRDefault="00A542E4">
                  <w:pPr>
                    <w:spacing w:line="280" w:lineRule="exact"/>
                    <w:rPr>
                      <w:rFonts w:ascii="宋体" w:eastAsia="仿宋_GB2312" w:hAnsi="宋体"/>
                    </w:rPr>
                  </w:pPr>
                  <w:r>
                    <w:rPr>
                      <w:rFonts w:ascii="宋体" w:eastAsia="仿宋_GB2312" w:hAnsi="宋体"/>
                      <w:noProof/>
                    </w:rPr>
                    <mc:AlternateContent>
                      <mc:Choice Requires="wps">
                        <w:drawing>
                          <wp:anchor distT="0" distB="0" distL="114300" distR="114300" simplePos="0" relativeHeight="251671552" behindDoc="0" locked="0" layoutInCell="1" allowOverlap="1" wp14:anchorId="1C5EE8E9" wp14:editId="0019F4CF">
                            <wp:simplePos x="0" y="0"/>
                            <wp:positionH relativeFrom="column">
                              <wp:posOffset>125730</wp:posOffset>
                            </wp:positionH>
                            <wp:positionV relativeFrom="paragraph">
                              <wp:posOffset>60325</wp:posOffset>
                            </wp:positionV>
                            <wp:extent cx="299720" cy="378460"/>
                            <wp:effectExtent l="0" t="0" r="5080" b="2540"/>
                            <wp:wrapNone/>
                            <wp:docPr id="5"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9720" cy="378460"/>
                                    </a:xfrm>
                                    <a:custGeom>
                                      <a:avLst/>
                                      <a:gdLst>
                                        <a:gd name="T0" fmla="*/ 134 w 135"/>
                                        <a:gd name="T1" fmla="*/ 0 h 192"/>
                                        <a:gd name="T2" fmla="*/ 1 w 135"/>
                                        <a:gd name="T3" fmla="*/ 0 h 192"/>
                                        <a:gd name="T4" fmla="*/ 0 w 135"/>
                                        <a:gd name="T5" fmla="*/ 1 h 192"/>
                                        <a:gd name="T6" fmla="*/ 0 w 135"/>
                                        <a:gd name="T7" fmla="*/ 191 h 192"/>
                                        <a:gd name="T8" fmla="*/ 1 w 135"/>
                                        <a:gd name="T9" fmla="*/ 192 h 192"/>
                                        <a:gd name="T10" fmla="*/ 134 w 135"/>
                                        <a:gd name="T11" fmla="*/ 192 h 192"/>
                                        <a:gd name="T12" fmla="*/ 135 w 135"/>
                                        <a:gd name="T13" fmla="*/ 191 h 192"/>
                                        <a:gd name="T14" fmla="*/ 135 w 135"/>
                                        <a:gd name="T15" fmla="*/ 1 h 192"/>
                                        <a:gd name="T16" fmla="*/ 134 w 135"/>
                                        <a:gd name="T17" fmla="*/ 0 h 192"/>
                                        <a:gd name="T18" fmla="*/ 48 w 135"/>
                                        <a:gd name="T19" fmla="*/ 163 h 192"/>
                                        <a:gd name="T20" fmla="*/ 21 w 135"/>
                                        <a:gd name="T21" fmla="*/ 163 h 192"/>
                                        <a:gd name="T22" fmla="*/ 21 w 135"/>
                                        <a:gd name="T23" fmla="*/ 136 h 192"/>
                                        <a:gd name="T24" fmla="*/ 48 w 135"/>
                                        <a:gd name="T25" fmla="*/ 136 h 192"/>
                                        <a:gd name="T26" fmla="*/ 48 w 135"/>
                                        <a:gd name="T27" fmla="*/ 163 h 192"/>
                                        <a:gd name="T28" fmla="*/ 48 w 135"/>
                                        <a:gd name="T29" fmla="*/ 111 h 192"/>
                                        <a:gd name="T30" fmla="*/ 21 w 135"/>
                                        <a:gd name="T31" fmla="*/ 111 h 192"/>
                                        <a:gd name="T32" fmla="*/ 21 w 135"/>
                                        <a:gd name="T33" fmla="*/ 84 h 192"/>
                                        <a:gd name="T34" fmla="*/ 48 w 135"/>
                                        <a:gd name="T35" fmla="*/ 84 h 192"/>
                                        <a:gd name="T36" fmla="*/ 48 w 135"/>
                                        <a:gd name="T37" fmla="*/ 111 h 192"/>
                                        <a:gd name="T38" fmla="*/ 112 w 135"/>
                                        <a:gd name="T39" fmla="*/ 163 h 192"/>
                                        <a:gd name="T40" fmla="*/ 61 w 135"/>
                                        <a:gd name="T41" fmla="*/ 163 h 192"/>
                                        <a:gd name="T42" fmla="*/ 61 w 135"/>
                                        <a:gd name="T43" fmla="*/ 136 h 192"/>
                                        <a:gd name="T44" fmla="*/ 112 w 135"/>
                                        <a:gd name="T45" fmla="*/ 136 h 192"/>
                                        <a:gd name="T46" fmla="*/ 112 w 135"/>
                                        <a:gd name="T47" fmla="*/ 163 h 192"/>
                                        <a:gd name="T48" fmla="*/ 112 w 135"/>
                                        <a:gd name="T49" fmla="*/ 111 h 192"/>
                                        <a:gd name="T50" fmla="*/ 61 w 135"/>
                                        <a:gd name="T51" fmla="*/ 111 h 192"/>
                                        <a:gd name="T52" fmla="*/ 61 w 135"/>
                                        <a:gd name="T53" fmla="*/ 84 h 192"/>
                                        <a:gd name="T54" fmla="*/ 112 w 135"/>
                                        <a:gd name="T55" fmla="*/ 84 h 192"/>
                                        <a:gd name="T56" fmla="*/ 112 w 135"/>
                                        <a:gd name="T57" fmla="*/ 111 h 192"/>
                                        <a:gd name="T58" fmla="*/ 114 w 135"/>
                                        <a:gd name="T59" fmla="*/ 61 h 192"/>
                                        <a:gd name="T60" fmla="*/ 21 w 135"/>
                                        <a:gd name="T61" fmla="*/ 61 h 192"/>
                                        <a:gd name="T62" fmla="*/ 21 w 135"/>
                                        <a:gd name="T63" fmla="*/ 21 h 192"/>
                                        <a:gd name="T64" fmla="*/ 114 w 135"/>
                                        <a:gd name="T65" fmla="*/ 21 h 192"/>
                                        <a:gd name="T66" fmla="*/ 114 w 135"/>
                                        <a:gd name="T67" fmla="*/ 6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5" h="192">
                                          <a:moveTo>
                                            <a:pt x="134" y="0"/>
                                          </a:moveTo>
                                          <a:cubicBezTo>
                                            <a:pt x="1" y="0"/>
                                            <a:pt x="1" y="0"/>
                                            <a:pt x="1" y="0"/>
                                          </a:cubicBezTo>
                                          <a:cubicBezTo>
                                            <a:pt x="0" y="0"/>
                                            <a:pt x="0" y="1"/>
                                            <a:pt x="0" y="1"/>
                                          </a:cubicBezTo>
                                          <a:cubicBezTo>
                                            <a:pt x="0" y="191"/>
                                            <a:pt x="0" y="191"/>
                                            <a:pt x="0" y="191"/>
                                          </a:cubicBezTo>
                                          <a:cubicBezTo>
                                            <a:pt x="0" y="192"/>
                                            <a:pt x="0" y="192"/>
                                            <a:pt x="1" y="192"/>
                                          </a:cubicBezTo>
                                          <a:cubicBezTo>
                                            <a:pt x="134" y="192"/>
                                            <a:pt x="134" y="192"/>
                                            <a:pt x="134" y="192"/>
                                          </a:cubicBezTo>
                                          <a:cubicBezTo>
                                            <a:pt x="135" y="192"/>
                                            <a:pt x="135" y="192"/>
                                            <a:pt x="135" y="191"/>
                                          </a:cubicBezTo>
                                          <a:cubicBezTo>
                                            <a:pt x="135" y="1"/>
                                            <a:pt x="135" y="1"/>
                                            <a:pt x="135" y="1"/>
                                          </a:cubicBezTo>
                                          <a:cubicBezTo>
                                            <a:pt x="135" y="1"/>
                                            <a:pt x="135" y="0"/>
                                            <a:pt x="134" y="0"/>
                                          </a:cubicBezTo>
                                          <a:close/>
                                          <a:moveTo>
                                            <a:pt x="48" y="163"/>
                                          </a:moveTo>
                                          <a:cubicBezTo>
                                            <a:pt x="21" y="163"/>
                                            <a:pt x="21" y="163"/>
                                            <a:pt x="21" y="163"/>
                                          </a:cubicBezTo>
                                          <a:cubicBezTo>
                                            <a:pt x="21" y="136"/>
                                            <a:pt x="21" y="136"/>
                                            <a:pt x="21" y="136"/>
                                          </a:cubicBezTo>
                                          <a:cubicBezTo>
                                            <a:pt x="48" y="136"/>
                                            <a:pt x="48" y="136"/>
                                            <a:pt x="48" y="136"/>
                                          </a:cubicBezTo>
                                          <a:lnTo>
                                            <a:pt x="48" y="163"/>
                                          </a:lnTo>
                                          <a:close/>
                                          <a:moveTo>
                                            <a:pt x="48" y="111"/>
                                          </a:moveTo>
                                          <a:cubicBezTo>
                                            <a:pt x="21" y="111"/>
                                            <a:pt x="21" y="111"/>
                                            <a:pt x="21" y="111"/>
                                          </a:cubicBezTo>
                                          <a:cubicBezTo>
                                            <a:pt x="21" y="84"/>
                                            <a:pt x="21" y="84"/>
                                            <a:pt x="21" y="84"/>
                                          </a:cubicBezTo>
                                          <a:cubicBezTo>
                                            <a:pt x="48" y="84"/>
                                            <a:pt x="48" y="84"/>
                                            <a:pt x="48" y="84"/>
                                          </a:cubicBezTo>
                                          <a:lnTo>
                                            <a:pt x="48" y="111"/>
                                          </a:lnTo>
                                          <a:close/>
                                          <a:moveTo>
                                            <a:pt x="112" y="163"/>
                                          </a:moveTo>
                                          <a:cubicBezTo>
                                            <a:pt x="61" y="163"/>
                                            <a:pt x="61" y="163"/>
                                            <a:pt x="61" y="163"/>
                                          </a:cubicBezTo>
                                          <a:cubicBezTo>
                                            <a:pt x="61" y="136"/>
                                            <a:pt x="61" y="136"/>
                                            <a:pt x="61" y="136"/>
                                          </a:cubicBezTo>
                                          <a:cubicBezTo>
                                            <a:pt x="112" y="136"/>
                                            <a:pt x="112" y="136"/>
                                            <a:pt x="112" y="136"/>
                                          </a:cubicBezTo>
                                          <a:lnTo>
                                            <a:pt x="112" y="163"/>
                                          </a:lnTo>
                                          <a:close/>
                                          <a:moveTo>
                                            <a:pt x="112" y="111"/>
                                          </a:moveTo>
                                          <a:cubicBezTo>
                                            <a:pt x="61" y="111"/>
                                            <a:pt x="61" y="111"/>
                                            <a:pt x="61" y="111"/>
                                          </a:cubicBezTo>
                                          <a:cubicBezTo>
                                            <a:pt x="61" y="84"/>
                                            <a:pt x="61" y="84"/>
                                            <a:pt x="61" y="84"/>
                                          </a:cubicBezTo>
                                          <a:cubicBezTo>
                                            <a:pt x="112" y="84"/>
                                            <a:pt x="112" y="84"/>
                                            <a:pt x="112" y="84"/>
                                          </a:cubicBezTo>
                                          <a:lnTo>
                                            <a:pt x="112" y="111"/>
                                          </a:lnTo>
                                          <a:close/>
                                          <a:moveTo>
                                            <a:pt x="114" y="61"/>
                                          </a:moveTo>
                                          <a:cubicBezTo>
                                            <a:pt x="21" y="61"/>
                                            <a:pt x="21" y="61"/>
                                            <a:pt x="21" y="61"/>
                                          </a:cubicBezTo>
                                          <a:cubicBezTo>
                                            <a:pt x="21" y="21"/>
                                            <a:pt x="21" y="21"/>
                                            <a:pt x="21" y="21"/>
                                          </a:cubicBezTo>
                                          <a:cubicBezTo>
                                            <a:pt x="114" y="21"/>
                                            <a:pt x="114" y="21"/>
                                            <a:pt x="114" y="21"/>
                                          </a:cubicBezTo>
                                          <a:lnTo>
                                            <a:pt x="114" y="61"/>
                                          </a:lnTo>
                                          <a:close/>
                                        </a:path>
                                      </a:pathLst>
                                    </a:custGeom>
                                    <a:solidFill>
                                      <a:schemeClr val="tx1"/>
                                    </a:solidFill>
                                    <a:ln>
                                      <a:noFill/>
                                    </a:ln>
                                  </wps:spPr>
                                  <wps:bodyPr vert="horz" wrap="square" lIns="91440" tIns="45720" rIns="91440" bIns="45720" numCol="1" anchor="t" anchorCtr="0" compatLnSpc="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8F8610" id="Freeform 119" o:spid="_x0000_s1026" style="position:absolute;left:0;text-align:left;margin-left:9.9pt;margin-top:4.75pt;width:23.6pt;height:29.8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3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sU/QUAAJkeAAAOAAAAZHJzL2Uyb0RvYy54bWysmdtu4zYQhu8L9B0EXRZobB2sxEacBZrt&#10;FgXSdoGkD0DLcixUElVRjp19+p2hSJm0RHlS9MYHavxr/o9jcSTefzqVhfeWNSLn1doPbua+l1Up&#10;3+bV69r/++XLz3e+J1pWbVnBq2ztv2fC//Tw4w/3x3qVhXzPi23WeCBSidWxXvv7tq1Xs5lI91nJ&#10;xA2vswoO7nhTsha+Nq+zbcOOoF4Ws3A+T2ZH3mzrhqeZEDD6uTvoP0j93S5L2792O5G1XrH2IbdW&#10;vjbydYOvs4d7tnptWL3PU5UG+w9ZlCyv4KS91GfWMu/Q5AOpMk8bLviuvUl5OeO7XZ5m0gO4CeYX&#10;bp73rM6kF4Aj6h6T+P9k0z/fnuuvDaYu6iee/iO8iv+6zduvPK9aOFGAiGbHWqz6UPwi4Efe5vgH&#10;38KkskPLpfvTrilRCnx5Jwn5vYecnVovhcFwubwNYSpSOBTd3sWJnIQZW+kfpwfR/pZxKcTenkTb&#10;zdEWPknCW69iJZz1BUR2ZQHT9dPMC6LYO8LrQs1oHxQYQXNv7wXL8DIkNEKCcZXICHGoxFbIaC4L&#10;IyQYzyUxQubjudwaIcHSoQN/uzObcZ2lGbIMx/MJaJBNykDYoWWBjhbjaQUma6e/wMQN0+7QIhAP&#10;TOTuMjKpOyogMKHHd46ULOxJNI4K/yD9/IWOogwt6k4pk7pTyoIeJY6sTOgug6HF3CllUndKmdAD&#10;p0EK9tDCHjj+NREFe2Rhd0pRsEcm9rt4nHpEoQ4XvnPBOJUo0CMLutOeCT0IwvFijyzqrgmMTeqJ&#10;o9hji7pTyqTulDKpB64KjU3sToexyd2tZYJ3a1nknRZJ5GOLvGsWFxTyC4u8U4pCfmGSd1XpggR+&#10;YYJ3SpG4LyzuToM2d0e7sTC5QwGONhzQ8pz/rK5LcmJidyqZ1J1KJnUIGs/Jpu6wl5jUnVI2dZeU&#10;Sd30B63gq2722F73f+mpUg0gfPIY3l7MZc9Zc4G9JnaD0FG+dP0qW0EUdouOYMCGwZFsbq8FAxkM&#10;lq0lJDetDN4x+JakDCWFwUtSMLZiGB3QLAbKI/RT2MFfyxsbKqlOs4ldkwynGcXWSIbTrGL7g+HQ&#10;4VByD5XVkGY1VFahUyGpK6shzWqorELHQVHHlgOtQldBCteVS7OKvYNUp1mNlFXoAUjJKKuwzFPC&#10;cZ3HZGApJ4UrqzHNKq7XUp1mNVZWY5rVWFmFdZWSOy6smAysnaRwZRXWR1K4sgprIClcWYV1jhSu&#10;rMJSRgnHxQytwnpFCldWE5rVRFmFhYekrqwmltXu4qeWjwaeCV0+DWp8D54GbfAUbFWzFlcd/dE7&#10;wkMQbK/38A4PD3C85G/ZC5cRLS4+cNsoIehHGefj6WGTp79k36zocyycrROYHML8LR37WyfRTYN6&#10;omUOyXnRJ+qi+qkiqsJtuGIjs1UiE4MfyLh/IGPlrJ/SmHhUJElbz8iFOm2YeAaoCSj8wRmuDNPZ&#10;y6rDM5jsrw9+LPsxbauINDJd23btpQUXmfzbnGu+mzN1xYTbdjwFJHUOsCW6cHyYgV67cF2ulFGS&#10;Xy0EK1z3J5eFTBklyWuztjxldCBfVOa1Qkv0FPXh6+D7PpEGvgu/BD81Okh9Yl7v4hHuE4MkbQXH&#10;lrk+ONDWTO3C7fnpw27kcEtvVi+cYJo53tsNi50yOsh9jLkWsquRMkqS793a+rThwRk0XXWlH5DU&#10;xwn0+xmj0bdrW+OZGh0kP0HfrkqlPjFI0taMbR3K6EBec73g3jPUx6e4d10PePvAFb6LvrjOTAwO&#10;Eh9jri7k8Da8uk8MkrQDdWts61BGB/KaqWZ+wU8f1sjh99iMytWz70ql6HmHTPAi337JiwK7Ublt&#10;mj0WjffGYMOzPemZsaIK+WSk4virbuJwRO7x4bYe7p2K1YZv32GLD7Z2Yc90z5tvvneEbdK1L/49&#10;sCbzveL3CrYHl0GMt3Wt/BIv5M5eYx7ZmEeqQ/nIITG4/LEqBVXIUX98bLttWdgXBa9P1XOdqtZH&#10;Zgb7n5KD2qvFDVbzu8z/vKP88B0AAP//AwBQSwMEFAAGAAgAAAAhAFG5SLfeAAAABgEAAA8AAABk&#10;cnMvZG93bnJldi54bWxMj09Lw0AQxe+C32EZoRexmxRaTcymVFEpgkj/HHrcZsckNDsbsttm/faO&#10;Jz09Hm947zfFMtpOXHDwrSMF6TQBgVQ501KtYL97vXsA4YMmoztHqOAbPSzL66tC58aNtMHLNtSC&#10;S8jnWkETQp9L6asGrfZT1yNx9uUGqwPboZZm0COX207OkmQhrW6JFxrd43OD1Wl7tgrMk1+/bW6r&#10;eRbj+Lk+fLzE9H2v1OQmrh5BBIzh7xh+8RkdSmY6ujMZLzr2GZMHBdkcBMeLe/7syJqlIMtC/scv&#10;fwAAAP//AwBQSwECLQAUAAYACAAAACEAtoM4kv4AAADhAQAAEwAAAAAAAAAAAAAAAAAAAAAAW0Nv&#10;bnRlbnRfVHlwZXNdLnhtbFBLAQItABQABgAIAAAAIQA4/SH/1gAAAJQBAAALAAAAAAAAAAAAAAAA&#10;AC8BAABfcmVscy8ucmVsc1BLAQItABQABgAIAAAAIQCsixsU/QUAAJkeAAAOAAAAAAAAAAAAAAAA&#10;AC4CAABkcnMvZTJvRG9jLnhtbFBLAQItABQABgAIAAAAIQBRuUi33gAAAAYBAAAPAAAAAAAAAAAA&#10;AAAAAFcIAABkcnMvZG93bnJldi54bWxQSwUGAAAAAAQABADzAAAAYgkAAAAA&#10;" path="m134,c1,,1,,1,,,,,1,,1,,191,,191,,191v,1,,1,1,1c134,192,134,192,134,192v1,,1,,1,-1c135,1,135,1,135,1v,,,-1,-1,-1xm48,163v-27,,-27,,-27,c21,136,21,136,21,136v27,,27,,27,l48,163xm48,111v-27,,-27,,-27,c21,84,21,84,21,84v27,,27,,27,l48,111xm112,163v-51,,-51,,-51,c61,136,61,136,61,136v51,,51,,51,l112,163xm112,111v-51,,-51,,-51,c61,84,61,84,61,84v51,,51,,51,l112,111xm114,61v-93,,-93,,-93,c21,21,21,21,21,21v93,,93,,93,l114,61xe" fillcolor="black [3213]" stroked="f">
                            <v:path arrowok="t" o:connecttype="custom" o:connectlocs="297500,0;2220,0;0,1971;0,376489;2220,378460;297500,378460;299720,376489;299720,1971;297500,0;106567,321297;46623,321297;46623,268076;106567,268076;106567,321297;106567,218797;46623,218797;46623,165576;106567,165576;106567,218797;248657,321297;135429,321297;135429,268076;248657,268076;248657,321297;248657,218797;135429,218797;135429,165576;248657,165576;248657,218797;253097,120240;46623,120240;46623,41394;253097,41394;253097,120240" o:connectangles="0,0,0,0,0,0,0,0,0,0,0,0,0,0,0,0,0,0,0,0,0,0,0,0,0,0,0,0,0,0,0,0,0,0"/>
                            <o:lock v:ext="edit" verticies="t"/>
                          </v:shape>
                        </w:pict>
                      </mc:Fallback>
                    </mc:AlternateContent>
                  </w:r>
                  <w:r>
                    <w:rPr>
                      <w:rFonts w:ascii="宋体" w:eastAsia="仿宋_GB2312" w:hAnsi="宋体"/>
                    </w:rPr>
                    <w:t xml:space="preserve">　　</w:t>
                  </w:r>
                </w:p>
              </w:tc>
              <w:tc>
                <w:tcPr>
                  <w:tcW w:w="1992" w:type="dxa"/>
                  <w:tcBorders>
                    <w:right w:val="nil"/>
                  </w:tcBorders>
                  <w:vAlign w:val="center"/>
                </w:tcPr>
                <w:p w14:paraId="376478F7" w14:textId="77777777" w:rsidR="008F265F" w:rsidRDefault="00A542E4">
                  <w:pPr>
                    <w:spacing w:line="280" w:lineRule="exact"/>
                    <w:rPr>
                      <w:rFonts w:ascii="宋体" w:eastAsia="仿宋_GB2312" w:hAnsi="宋体"/>
                      <w:b/>
                    </w:rPr>
                  </w:pPr>
                  <w:r>
                    <w:rPr>
                      <w:rFonts w:ascii="宋体" w:eastAsia="仿宋_GB2312" w:hAnsi="宋体" w:hint="eastAsia"/>
                      <w:b/>
                    </w:rPr>
                    <w:t>附表一</w:t>
                  </w:r>
                </w:p>
                <w:p w14:paraId="24817951" w14:textId="77777777" w:rsidR="008F265F" w:rsidRDefault="008F265F">
                  <w:pPr>
                    <w:spacing w:line="280" w:lineRule="exact"/>
                    <w:rPr>
                      <w:rFonts w:ascii="宋体" w:eastAsia="仿宋_GB2312" w:hAnsi="宋体"/>
                      <w:b/>
                    </w:rPr>
                  </w:pPr>
                </w:p>
                <w:p w14:paraId="1617ED3F" w14:textId="77777777" w:rsidR="008F265F" w:rsidRDefault="00A542E4">
                  <w:pPr>
                    <w:spacing w:line="280" w:lineRule="exact"/>
                    <w:rPr>
                      <w:rFonts w:ascii="宋体" w:eastAsia="仿宋_GB2312" w:hAnsi="宋体"/>
                      <w:b/>
                    </w:rPr>
                  </w:pPr>
                  <w:r>
                    <w:rPr>
                      <w:rFonts w:ascii="宋体" w:eastAsia="仿宋_GB2312" w:hAnsi="宋体"/>
                      <w:b/>
                    </w:rPr>
                    <w:t>附表二</w:t>
                  </w:r>
                </w:p>
                <w:p w14:paraId="2EF5550B" w14:textId="77777777" w:rsidR="008F265F" w:rsidRDefault="008F265F">
                  <w:pPr>
                    <w:spacing w:line="280" w:lineRule="exact"/>
                    <w:rPr>
                      <w:rFonts w:ascii="宋体" w:eastAsia="仿宋_GB2312" w:hAnsi="宋体"/>
                      <w:b/>
                    </w:rPr>
                  </w:pPr>
                </w:p>
                <w:p w14:paraId="14CC4198" w14:textId="77777777" w:rsidR="008F265F" w:rsidRDefault="008F265F">
                  <w:pPr>
                    <w:spacing w:line="280" w:lineRule="exact"/>
                    <w:rPr>
                      <w:rFonts w:ascii="宋体" w:eastAsia="仿宋_GB2312" w:hAnsi="宋体"/>
                      <w:b/>
                    </w:rPr>
                  </w:pPr>
                </w:p>
                <w:p w14:paraId="7AFD1957" w14:textId="77777777" w:rsidR="008F265F" w:rsidRDefault="00A542E4">
                  <w:pPr>
                    <w:spacing w:line="280" w:lineRule="exact"/>
                    <w:rPr>
                      <w:rFonts w:ascii="宋体" w:eastAsia="仿宋_GB2312" w:hAnsi="宋体"/>
                      <w:b/>
                    </w:rPr>
                  </w:pPr>
                  <w:r>
                    <w:rPr>
                      <w:rFonts w:ascii="宋体" w:eastAsia="仿宋_GB2312" w:hAnsi="宋体"/>
                      <w:b/>
                    </w:rPr>
                    <w:t>附表三</w:t>
                  </w:r>
                </w:p>
              </w:tc>
              <w:tc>
                <w:tcPr>
                  <w:tcW w:w="6666" w:type="dxa"/>
                  <w:tcBorders>
                    <w:left w:val="nil"/>
                  </w:tcBorders>
                  <w:vAlign w:val="center"/>
                </w:tcPr>
                <w:p w14:paraId="5AC2167D" w14:textId="77777777" w:rsidR="008F265F" w:rsidRDefault="00A542E4">
                  <w:pPr>
                    <w:spacing w:line="280" w:lineRule="exact"/>
                    <w:rPr>
                      <w:rFonts w:ascii="宋体" w:eastAsia="仿宋_GB2312" w:hAnsi="宋体"/>
                    </w:rPr>
                  </w:pPr>
                  <w:r>
                    <w:rPr>
                      <w:rFonts w:ascii="宋体" w:eastAsia="仿宋_GB2312" w:hAnsi="宋体" w:hint="eastAsia"/>
                    </w:rPr>
                    <w:lastRenderedPageBreak/>
                    <w:t>招商局仁和人寿保险股份有限公司</w:t>
                  </w:r>
                </w:p>
                <w:p w14:paraId="62E5AB39" w14:textId="77777777" w:rsidR="008F265F" w:rsidRDefault="00A542E4">
                  <w:pPr>
                    <w:spacing w:line="280" w:lineRule="exact"/>
                    <w:rPr>
                      <w:rFonts w:ascii="宋体" w:eastAsia="仿宋_GB2312" w:hAnsi="宋体"/>
                    </w:rPr>
                  </w:pPr>
                  <w:r>
                    <w:rPr>
                      <w:rFonts w:ascii="宋体" w:eastAsia="仿宋_GB2312" w:hAnsi="宋体" w:hint="eastAsia"/>
                    </w:rPr>
                    <w:lastRenderedPageBreak/>
                    <w:t>招商仁和仁心保贝</w:t>
                  </w:r>
                  <w:r>
                    <w:rPr>
                      <w:rFonts w:ascii="宋体" w:eastAsia="仿宋_GB2312" w:hAnsi="宋体" w:hint="eastAsia"/>
                    </w:rPr>
                    <w:t>3</w:t>
                  </w:r>
                  <w:r>
                    <w:rPr>
                      <w:rFonts w:ascii="宋体" w:eastAsia="仿宋_GB2312" w:hAnsi="宋体" w:hint="eastAsia"/>
                    </w:rPr>
                    <w:t>号重大疾病保险</w:t>
                  </w:r>
                  <w:r>
                    <w:rPr>
                      <w:rFonts w:ascii="宋体" w:eastAsia="仿宋_GB2312" w:hAnsi="宋体"/>
                    </w:rPr>
                    <w:t>A</w:t>
                  </w:r>
                  <w:r>
                    <w:rPr>
                      <w:rFonts w:ascii="宋体" w:eastAsia="仿宋_GB2312" w:hAnsi="宋体" w:hint="eastAsia"/>
                    </w:rPr>
                    <w:t>款（互联网）保障疾病名称</w:t>
                  </w:r>
                </w:p>
                <w:p w14:paraId="1FE6A68A" w14:textId="77777777" w:rsidR="008F265F" w:rsidRDefault="00A542E4">
                  <w:pPr>
                    <w:spacing w:line="280" w:lineRule="exact"/>
                    <w:rPr>
                      <w:rFonts w:ascii="宋体" w:eastAsia="仿宋_GB2312" w:hAnsi="宋体"/>
                    </w:rPr>
                  </w:pPr>
                  <w:r>
                    <w:rPr>
                      <w:rFonts w:ascii="宋体" w:eastAsia="仿宋_GB2312" w:hAnsi="宋体" w:hint="eastAsia"/>
                    </w:rPr>
                    <w:t>招商局仁和人寿保险股份有限公司</w:t>
                  </w:r>
                </w:p>
                <w:p w14:paraId="6E8FC722" w14:textId="77777777" w:rsidR="008F265F" w:rsidRDefault="00A542E4">
                  <w:pPr>
                    <w:spacing w:line="280" w:lineRule="exact"/>
                    <w:rPr>
                      <w:rFonts w:ascii="宋体" w:eastAsia="仿宋_GB2312" w:hAnsi="宋体"/>
                    </w:rPr>
                  </w:pPr>
                  <w:r>
                    <w:rPr>
                      <w:rFonts w:ascii="宋体" w:eastAsia="仿宋_GB2312" w:hAnsi="宋体" w:hint="eastAsia"/>
                    </w:rPr>
                    <w:t>招商仁和仁心保贝</w:t>
                  </w:r>
                  <w:r>
                    <w:rPr>
                      <w:rFonts w:ascii="宋体" w:eastAsia="仿宋_GB2312" w:hAnsi="宋体" w:hint="eastAsia"/>
                    </w:rPr>
                    <w:t>3</w:t>
                  </w:r>
                  <w:r>
                    <w:rPr>
                      <w:rFonts w:ascii="宋体" w:eastAsia="仿宋_GB2312" w:hAnsi="宋体" w:hint="eastAsia"/>
                    </w:rPr>
                    <w:t>号重大疾病保险</w:t>
                  </w:r>
                  <w:r>
                    <w:rPr>
                      <w:rFonts w:ascii="宋体" w:eastAsia="仿宋_GB2312" w:hAnsi="宋体"/>
                    </w:rPr>
                    <w:t>A</w:t>
                  </w:r>
                  <w:r>
                    <w:rPr>
                      <w:rFonts w:ascii="宋体" w:eastAsia="仿宋_GB2312" w:hAnsi="宋体" w:hint="eastAsia"/>
                    </w:rPr>
                    <w:t>款（互联网）重大疾病及中症疾病和轻症疾病除外对应表</w:t>
                  </w:r>
                </w:p>
                <w:p w14:paraId="1CD75CBD" w14:textId="77777777" w:rsidR="008F265F" w:rsidRDefault="00A542E4">
                  <w:pPr>
                    <w:spacing w:line="280" w:lineRule="exact"/>
                    <w:rPr>
                      <w:rFonts w:ascii="宋体" w:eastAsia="仿宋_GB2312" w:hAnsi="宋体"/>
                    </w:rPr>
                  </w:pPr>
                  <w:r>
                    <w:rPr>
                      <w:rFonts w:ascii="宋体" w:eastAsia="仿宋_GB2312" w:hAnsi="宋体" w:hint="eastAsia"/>
                    </w:rPr>
                    <w:t>甲状腺癌的</w:t>
                  </w:r>
                  <w:r>
                    <w:rPr>
                      <w:rFonts w:ascii="宋体" w:eastAsia="仿宋_GB2312" w:hAnsi="宋体" w:hint="eastAsia"/>
                    </w:rPr>
                    <w:t>T</w:t>
                  </w:r>
                  <w:r>
                    <w:rPr>
                      <w:rFonts w:ascii="宋体" w:eastAsia="仿宋_GB2312" w:hAnsi="宋体"/>
                    </w:rPr>
                    <w:t>NM</w:t>
                  </w:r>
                  <w:r>
                    <w:rPr>
                      <w:rFonts w:ascii="宋体" w:eastAsia="仿宋_GB2312" w:hAnsi="宋体"/>
                    </w:rPr>
                    <w:t>分期</w:t>
                  </w:r>
                </w:p>
              </w:tc>
            </w:tr>
          </w:tbl>
          <w:p w14:paraId="595BE950" w14:textId="77777777" w:rsidR="008F265F" w:rsidRDefault="008F265F">
            <w:pPr>
              <w:spacing w:beforeLines="50" w:before="156"/>
              <w:rPr>
                <w:rFonts w:ascii="宋体" w:eastAsia="仿宋_GB2312" w:hAnsi="宋体"/>
                <w:b/>
                <w:bCs/>
                <w:kern w:val="0"/>
                <w:szCs w:val="18"/>
                <w:lang w:val="zh-CN"/>
              </w:rPr>
            </w:pPr>
          </w:p>
        </w:tc>
      </w:tr>
      <w:bookmarkEnd w:id="0"/>
    </w:tbl>
    <w:p w14:paraId="691BFC5B" w14:textId="77777777" w:rsidR="008F265F" w:rsidRDefault="008F265F">
      <w:pPr>
        <w:spacing w:beforeLines="50" w:before="156"/>
        <w:rPr>
          <w:rFonts w:ascii="宋体" w:hAnsi="宋体"/>
          <w:b/>
          <w:bCs/>
          <w:sz w:val="28"/>
        </w:rPr>
        <w:sectPr w:rsidR="008F265F" w:rsidSect="00BA1323">
          <w:headerReference w:type="default" r:id="rId12"/>
          <w:footerReference w:type="even" r:id="rId13"/>
          <w:footerReference w:type="default" r:id="rId14"/>
          <w:footerReference w:type="first" r:id="rId15"/>
          <w:pgSz w:w="11907" w:h="16839"/>
          <w:pgMar w:top="1134" w:right="1134" w:bottom="1134" w:left="1021" w:header="737" w:footer="737" w:gutter="0"/>
          <w:cols w:space="425"/>
          <w:docGrid w:type="lines" w:linePitch="312"/>
        </w:sectPr>
      </w:pPr>
    </w:p>
    <w:p w14:paraId="71AD2AC3" w14:textId="77777777" w:rsidR="008F265F" w:rsidRDefault="00A542E4">
      <w:pPr>
        <w:spacing w:beforeLines="50" w:before="156"/>
        <w:jc w:val="center"/>
        <w:rPr>
          <w:rFonts w:ascii="宋体" w:hAnsi="宋体"/>
          <w:b/>
          <w:bCs/>
          <w:sz w:val="28"/>
        </w:rPr>
      </w:pPr>
      <w:r>
        <w:rPr>
          <w:rFonts w:ascii="宋体" w:hAnsi="宋体" w:hint="eastAsia"/>
          <w:b/>
          <w:bCs/>
          <w:sz w:val="28"/>
        </w:rPr>
        <w:lastRenderedPageBreak/>
        <w:t>招商仁和仁心保贝3号重大疾病保险</w:t>
      </w:r>
      <w:r>
        <w:rPr>
          <w:rFonts w:ascii="宋体" w:hAnsi="宋体"/>
          <w:b/>
          <w:bCs/>
          <w:sz w:val="28"/>
        </w:rPr>
        <w:t>A</w:t>
      </w:r>
      <w:r>
        <w:rPr>
          <w:rFonts w:ascii="宋体" w:hAnsi="宋体" w:hint="eastAsia"/>
          <w:b/>
          <w:bCs/>
          <w:sz w:val="28"/>
        </w:rPr>
        <w:t>款（互联网）条款</w:t>
      </w:r>
    </w:p>
    <w:p w14:paraId="1B4E76C6" w14:textId="77777777" w:rsidR="008F265F" w:rsidRDefault="00A542E4">
      <w:pPr>
        <w:pStyle w:val="a5"/>
        <w:rPr>
          <w:rFonts w:hAnsi="宋体"/>
          <w:b/>
          <w:bCs/>
          <w:sz w:val="21"/>
          <w:szCs w:val="20"/>
        </w:rPr>
      </w:pPr>
      <w:r>
        <w:rPr>
          <w:rFonts w:hAnsi="宋体" w:hint="eastAsia"/>
          <w:b/>
          <w:bCs/>
          <w:sz w:val="21"/>
          <w:szCs w:val="20"/>
        </w:rPr>
        <w:t xml:space="preserve"> </w:t>
      </w:r>
    </w:p>
    <w:p w14:paraId="2C2F4E31" w14:textId="77777777" w:rsidR="008F265F" w:rsidRDefault="00A542E4">
      <w:pPr>
        <w:pStyle w:val="a5"/>
        <w:tabs>
          <w:tab w:val="left" w:pos="360"/>
        </w:tabs>
        <w:ind w:firstLineChars="200" w:firstLine="422"/>
        <w:rPr>
          <w:rFonts w:hAnsi="宋体"/>
          <w:b/>
          <w:sz w:val="21"/>
        </w:rPr>
      </w:pPr>
      <w:r>
        <w:rPr>
          <w:rFonts w:hAnsi="宋体" w:hint="eastAsia"/>
          <w:b/>
          <w:sz w:val="21"/>
        </w:rPr>
        <w:t>本条款中的每一部分都关乎到您的切身利益，请务必逐条仔细阅读并关注注释内容。</w:t>
      </w:r>
    </w:p>
    <w:p w14:paraId="2DD7737C" w14:textId="77777777" w:rsidR="008F265F" w:rsidRDefault="00A542E4">
      <w:pPr>
        <w:pStyle w:val="a5"/>
        <w:tabs>
          <w:tab w:val="left" w:pos="360"/>
        </w:tabs>
        <w:ind w:firstLineChars="200" w:firstLine="420"/>
        <w:rPr>
          <w:rFonts w:hAnsi="宋体"/>
          <w:sz w:val="21"/>
        </w:rPr>
      </w:pPr>
      <w:r>
        <w:rPr>
          <w:rFonts w:hAnsi="宋体" w:hint="eastAsia"/>
          <w:sz w:val="21"/>
        </w:rPr>
        <w:t>在本条款</w:t>
      </w:r>
      <w:r>
        <w:rPr>
          <w:rFonts w:hAnsi="宋体"/>
          <w:sz w:val="21"/>
        </w:rPr>
        <w:t>中，</w:t>
      </w:r>
      <w:r>
        <w:rPr>
          <w:rFonts w:hAnsi="宋体" w:hint="eastAsia"/>
          <w:sz w:val="21"/>
        </w:rPr>
        <w:t>“您”均指投保人，“我们”均指招商局仁和人寿保险股份有限公司。</w:t>
      </w:r>
    </w:p>
    <w:p w14:paraId="3D76330A" w14:textId="77777777" w:rsidR="008F265F" w:rsidRDefault="00A542E4">
      <w:pPr>
        <w:pStyle w:val="af4"/>
        <w:spacing w:before="468"/>
        <w:rPr>
          <w:sz w:val="24"/>
        </w:rPr>
      </w:pPr>
      <w:r>
        <w:rPr>
          <w:rFonts w:hint="eastAsia"/>
          <w:sz w:val="24"/>
        </w:rPr>
        <w:t>第一章  我们保什么、保多久</w:t>
      </w:r>
    </w:p>
    <w:p w14:paraId="7A90DC0C" w14:textId="77777777" w:rsidR="008F265F" w:rsidRDefault="00A542E4">
      <w:pPr>
        <w:pStyle w:val="af4"/>
        <w:spacing w:beforeLines="50" w:before="156"/>
        <w:rPr>
          <w:rFonts w:eastAsia="楷体"/>
          <w:b w:val="0"/>
        </w:rPr>
      </w:pPr>
      <w:r>
        <w:rPr>
          <w:rFonts w:eastAsia="楷体"/>
          <w:b w:val="0"/>
        </w:rPr>
        <w:t>这部分讲的是我们提供的保障以及我们提供保障的期间</w:t>
      </w:r>
      <w:r>
        <w:rPr>
          <w:rFonts w:eastAsia="楷体" w:hint="eastAsia"/>
          <w:b w:val="0"/>
        </w:rPr>
        <w:t>。</w:t>
      </w:r>
    </w:p>
    <w:p w14:paraId="2256BB43" w14:textId="77777777" w:rsidR="008F265F" w:rsidRDefault="00992274">
      <w:pPr>
        <w:pStyle w:val="af4"/>
        <w:spacing w:beforeLines="0"/>
        <w:jc w:val="both"/>
        <w:rPr>
          <w:rFonts w:eastAsia="楷体"/>
          <w:b w:val="0"/>
        </w:rPr>
      </w:pPr>
      <w:r>
        <w:rPr>
          <w:rFonts w:eastAsia="楷体"/>
          <w:b w:val="0"/>
        </w:rPr>
        <w:pict w14:anchorId="3CF9F72E">
          <v:rect id="_x0000_i1025" style="width:453.6pt;height:1pt" o:hralign="center" o:hrstd="t" o:hrnoshade="t" o:hr="t" fillcolor="black" stroked="f"/>
        </w:pict>
      </w:r>
    </w:p>
    <w:p w14:paraId="154ADA73" w14:textId="77777777" w:rsidR="008F265F" w:rsidRDefault="00A542E4">
      <w:pPr>
        <w:numPr>
          <w:ilvl w:val="0"/>
          <w:numId w:val="1"/>
        </w:numPr>
        <w:spacing w:beforeLines="100" w:before="312"/>
        <w:ind w:left="902" w:hanging="902"/>
        <w:rPr>
          <w:rFonts w:ascii="宋体" w:hAnsi="宋体"/>
          <w:b/>
          <w:bCs/>
        </w:rPr>
      </w:pPr>
      <w:r>
        <w:rPr>
          <w:rFonts w:ascii="宋体" w:hAnsi="宋体" w:hint="eastAsia"/>
          <w:b/>
          <w:bCs/>
        </w:rPr>
        <w:t>基本保险金额</w:t>
      </w:r>
    </w:p>
    <w:p w14:paraId="73AB1A35" w14:textId="77777777" w:rsidR="008F265F" w:rsidRDefault="00A542E4">
      <w:pPr>
        <w:spacing w:beforeLines="100" w:before="312"/>
        <w:ind w:firstLine="420"/>
        <w:rPr>
          <w:rFonts w:ascii="宋体" w:hAnsi="宋体"/>
        </w:rPr>
      </w:pPr>
      <w:r>
        <w:rPr>
          <w:rFonts w:ascii="宋体" w:hAnsi="宋体" w:hint="eastAsia"/>
        </w:rPr>
        <w:t>本主险合同基本保险金额由您和我们在投保时约定并在保险单上载明。</w:t>
      </w:r>
      <w:r>
        <w:rPr>
          <w:rFonts w:ascii="宋体" w:hAnsi="宋体" w:hint="eastAsia"/>
          <w:b/>
        </w:rPr>
        <w:t>若该金额发生变更，则以变更后的金额为基本保险金额。</w:t>
      </w:r>
    </w:p>
    <w:p w14:paraId="06195872" w14:textId="77777777" w:rsidR="008F265F" w:rsidRDefault="00A542E4">
      <w:pPr>
        <w:numPr>
          <w:ilvl w:val="0"/>
          <w:numId w:val="1"/>
        </w:numPr>
        <w:spacing w:beforeLines="100" w:before="312"/>
        <w:ind w:left="902" w:hanging="902"/>
        <w:rPr>
          <w:rFonts w:ascii="宋体" w:hAnsi="宋体"/>
          <w:b/>
          <w:bCs/>
        </w:rPr>
      </w:pPr>
      <w:r>
        <w:rPr>
          <w:rFonts w:ascii="宋体" w:hAnsi="宋体" w:hint="eastAsia"/>
          <w:b/>
          <w:bCs/>
        </w:rPr>
        <w:t>保险责任</w:t>
      </w:r>
    </w:p>
    <w:p w14:paraId="1562C431" w14:textId="77777777" w:rsidR="008F265F" w:rsidRDefault="00A542E4">
      <w:pPr>
        <w:spacing w:beforeLines="50" w:before="156" w:afterLines="50" w:after="156"/>
        <w:ind w:firstLineChars="200" w:firstLine="420"/>
        <w:rPr>
          <w:rFonts w:ascii="宋体" w:hAnsi="宋体" w:cs="宋体"/>
          <w:kern w:val="0"/>
          <w:szCs w:val="21"/>
        </w:rPr>
      </w:pPr>
      <w:r>
        <w:rPr>
          <w:rFonts w:ascii="宋体" w:hAnsi="宋体" w:cs="宋体" w:hint="eastAsia"/>
          <w:kern w:val="0"/>
          <w:szCs w:val="21"/>
        </w:rPr>
        <w:t>本主险合同的保险责任分为基本部分和可选部分，您可为被保险人只投保基本部分，也可在投保基本部分的同时选择投保可选部分，</w:t>
      </w:r>
      <w:r>
        <w:rPr>
          <w:rFonts w:ascii="宋体" w:hAnsi="宋体" w:cs="宋体" w:hint="eastAsia"/>
          <w:b/>
          <w:kern w:val="0"/>
          <w:szCs w:val="21"/>
        </w:rPr>
        <w:t>但不能单独投保可选部分</w:t>
      </w:r>
      <w:r>
        <w:rPr>
          <w:rFonts w:ascii="宋体" w:hAnsi="宋体" w:cs="宋体" w:hint="eastAsia"/>
          <w:kern w:val="0"/>
          <w:szCs w:val="21"/>
        </w:rPr>
        <w:t>。本主险合同提供以下三十二种保障计划，您可以选择其中一种，由您在投保时与我们约定，并载明于保险单上。所选保障计划一经确定，在本主险合同保险期间内不得变更。</w:t>
      </w:r>
    </w:p>
    <w:tbl>
      <w:tblPr>
        <w:tblW w:w="7650" w:type="dxa"/>
        <w:jc w:val="center"/>
        <w:tblLayout w:type="fixed"/>
        <w:tblLook w:val="04A0" w:firstRow="1" w:lastRow="0" w:firstColumn="1" w:lastColumn="0" w:noHBand="0" w:noVBand="1"/>
      </w:tblPr>
      <w:tblGrid>
        <w:gridCol w:w="1271"/>
        <w:gridCol w:w="6379"/>
      </w:tblGrid>
      <w:tr w:rsidR="008F265F" w14:paraId="24D6E8FA" w14:textId="77777777">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90D36D0"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lastRenderedPageBreak/>
              <w:t>保障计划</w:t>
            </w:r>
          </w:p>
        </w:tc>
        <w:tc>
          <w:tcPr>
            <w:tcW w:w="6379" w:type="dxa"/>
            <w:tcBorders>
              <w:top w:val="single" w:sz="4" w:space="0" w:color="auto"/>
              <w:left w:val="nil"/>
              <w:bottom w:val="single" w:sz="4" w:space="0" w:color="auto"/>
              <w:right w:val="single" w:sz="4" w:space="0" w:color="auto"/>
            </w:tcBorders>
            <w:shd w:val="clear" w:color="auto" w:fill="auto"/>
            <w:vAlign w:val="center"/>
          </w:tcPr>
          <w:p w14:paraId="5AFC8714"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投保的保险责任</w:t>
            </w:r>
          </w:p>
        </w:tc>
      </w:tr>
      <w:tr w:rsidR="008F265F" w14:paraId="0D362550"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63B48913"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计划一</w:t>
            </w:r>
          </w:p>
        </w:tc>
        <w:tc>
          <w:tcPr>
            <w:tcW w:w="6379" w:type="dxa"/>
            <w:tcBorders>
              <w:top w:val="nil"/>
              <w:left w:val="nil"/>
              <w:bottom w:val="single" w:sz="4" w:space="0" w:color="auto"/>
              <w:right w:val="single" w:sz="4" w:space="0" w:color="auto"/>
            </w:tcBorders>
            <w:shd w:val="clear" w:color="auto" w:fill="auto"/>
            <w:vAlign w:val="center"/>
          </w:tcPr>
          <w:p w14:paraId="1FFB77F8"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基本部分（其中身故或全残保险金选择方案一）</w:t>
            </w:r>
          </w:p>
        </w:tc>
      </w:tr>
      <w:tr w:rsidR="008F265F" w14:paraId="24710900"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714214B9"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计划二</w:t>
            </w:r>
          </w:p>
        </w:tc>
        <w:tc>
          <w:tcPr>
            <w:tcW w:w="6379" w:type="dxa"/>
            <w:tcBorders>
              <w:top w:val="nil"/>
              <w:left w:val="nil"/>
              <w:bottom w:val="single" w:sz="4" w:space="0" w:color="auto"/>
              <w:right w:val="single" w:sz="4" w:space="0" w:color="auto"/>
            </w:tcBorders>
            <w:shd w:val="clear" w:color="auto" w:fill="auto"/>
            <w:vAlign w:val="center"/>
          </w:tcPr>
          <w:p w14:paraId="0F21F2EC"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基本部分（其中身故或全残保险金选择方案一）、可选部分的疾病关爱保险金</w:t>
            </w:r>
          </w:p>
        </w:tc>
      </w:tr>
      <w:tr w:rsidR="008F265F" w14:paraId="44FFF8F7"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1F73007F"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计划三</w:t>
            </w:r>
          </w:p>
        </w:tc>
        <w:tc>
          <w:tcPr>
            <w:tcW w:w="6379" w:type="dxa"/>
            <w:tcBorders>
              <w:top w:val="nil"/>
              <w:left w:val="nil"/>
              <w:bottom w:val="single" w:sz="4" w:space="0" w:color="auto"/>
              <w:right w:val="single" w:sz="4" w:space="0" w:color="auto"/>
            </w:tcBorders>
            <w:shd w:val="clear" w:color="auto" w:fill="auto"/>
            <w:vAlign w:val="center"/>
          </w:tcPr>
          <w:p w14:paraId="19E6C428"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基本部分（其中身故或全残保险金选择方案一）、可选部分的重大疾病多次给付保险金</w:t>
            </w:r>
          </w:p>
        </w:tc>
      </w:tr>
      <w:tr w:rsidR="008F265F" w14:paraId="08EF8CF1"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2AFEEBAE"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计划四</w:t>
            </w:r>
          </w:p>
        </w:tc>
        <w:tc>
          <w:tcPr>
            <w:tcW w:w="6379" w:type="dxa"/>
            <w:tcBorders>
              <w:top w:val="nil"/>
              <w:left w:val="nil"/>
              <w:bottom w:val="single" w:sz="4" w:space="0" w:color="auto"/>
              <w:right w:val="single" w:sz="4" w:space="0" w:color="auto"/>
            </w:tcBorders>
            <w:shd w:val="clear" w:color="auto" w:fill="auto"/>
            <w:vAlign w:val="center"/>
          </w:tcPr>
          <w:p w14:paraId="10A444C9"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基本部分（其中身故或全残保险金选择方案一）、可选部分的“恶性肿瘤——重度”关爱保险金</w:t>
            </w:r>
          </w:p>
        </w:tc>
      </w:tr>
      <w:tr w:rsidR="008F265F" w14:paraId="0E3E0586"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68FEBCAF"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计划五</w:t>
            </w:r>
          </w:p>
        </w:tc>
        <w:tc>
          <w:tcPr>
            <w:tcW w:w="6379" w:type="dxa"/>
            <w:tcBorders>
              <w:top w:val="nil"/>
              <w:left w:val="nil"/>
              <w:bottom w:val="single" w:sz="4" w:space="0" w:color="auto"/>
              <w:right w:val="single" w:sz="4" w:space="0" w:color="auto"/>
            </w:tcBorders>
            <w:shd w:val="clear" w:color="auto" w:fill="auto"/>
            <w:vAlign w:val="center"/>
          </w:tcPr>
          <w:p w14:paraId="0F997C30"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基本部分（其中身故或全残保险金选择方案一）、可选部分的疾病关爱保险金、可选部分的重大疾病多次给付保险金</w:t>
            </w:r>
          </w:p>
        </w:tc>
      </w:tr>
      <w:tr w:rsidR="008F265F" w14:paraId="1571E7EF"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7C668F1D"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计划六</w:t>
            </w:r>
          </w:p>
        </w:tc>
        <w:tc>
          <w:tcPr>
            <w:tcW w:w="6379" w:type="dxa"/>
            <w:tcBorders>
              <w:top w:val="nil"/>
              <w:left w:val="nil"/>
              <w:bottom w:val="single" w:sz="4" w:space="0" w:color="auto"/>
              <w:right w:val="single" w:sz="4" w:space="0" w:color="auto"/>
            </w:tcBorders>
            <w:shd w:val="clear" w:color="auto" w:fill="auto"/>
            <w:vAlign w:val="center"/>
          </w:tcPr>
          <w:p w14:paraId="058D3689"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基本部分（其中身故或全残保险金选择方案一）、可选部分的疾病关爱保险金、可选部分的“恶性肿瘤——重度”关爱保险金</w:t>
            </w:r>
          </w:p>
        </w:tc>
      </w:tr>
      <w:tr w:rsidR="008F265F" w14:paraId="3C7A1993"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4DDB7E36"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计划七</w:t>
            </w:r>
          </w:p>
        </w:tc>
        <w:tc>
          <w:tcPr>
            <w:tcW w:w="6379" w:type="dxa"/>
            <w:tcBorders>
              <w:top w:val="nil"/>
              <w:left w:val="nil"/>
              <w:bottom w:val="single" w:sz="4" w:space="0" w:color="auto"/>
              <w:right w:val="single" w:sz="4" w:space="0" w:color="auto"/>
            </w:tcBorders>
            <w:shd w:val="clear" w:color="auto" w:fill="auto"/>
            <w:vAlign w:val="center"/>
          </w:tcPr>
          <w:p w14:paraId="7885B4E8"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基本部分（其中身故或全残保险金选择方案一）、可选部分的重大疾病多次给付保险金、可选部分的“恶性肿瘤——重度”关爱保险金</w:t>
            </w:r>
          </w:p>
        </w:tc>
      </w:tr>
      <w:tr w:rsidR="008F265F" w14:paraId="12128DAD"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3333E875"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计划八</w:t>
            </w:r>
          </w:p>
        </w:tc>
        <w:tc>
          <w:tcPr>
            <w:tcW w:w="6379" w:type="dxa"/>
            <w:tcBorders>
              <w:top w:val="nil"/>
              <w:left w:val="nil"/>
              <w:bottom w:val="single" w:sz="4" w:space="0" w:color="auto"/>
              <w:right w:val="single" w:sz="4" w:space="0" w:color="auto"/>
            </w:tcBorders>
            <w:shd w:val="clear" w:color="auto" w:fill="auto"/>
            <w:vAlign w:val="center"/>
          </w:tcPr>
          <w:p w14:paraId="696991FD"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基本部分（其中身故或全残保险金选择方案一）、可选部分的疾病关爱保险金、可选部分的重大疾病多次给付保险金、可选部分的“恶性肿瘤——重度”关爱保险金</w:t>
            </w:r>
          </w:p>
        </w:tc>
      </w:tr>
      <w:tr w:rsidR="008F265F" w14:paraId="7FF05DB0"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6CD1D580"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计划九</w:t>
            </w:r>
          </w:p>
        </w:tc>
        <w:tc>
          <w:tcPr>
            <w:tcW w:w="6379" w:type="dxa"/>
            <w:tcBorders>
              <w:top w:val="nil"/>
              <w:left w:val="nil"/>
              <w:bottom w:val="single" w:sz="4" w:space="0" w:color="auto"/>
              <w:right w:val="single" w:sz="4" w:space="0" w:color="auto"/>
            </w:tcBorders>
            <w:shd w:val="clear" w:color="auto" w:fill="auto"/>
            <w:vAlign w:val="center"/>
          </w:tcPr>
          <w:p w14:paraId="48F87D6B"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基本部分（其中身故或全残保险金选择方案二）</w:t>
            </w:r>
          </w:p>
        </w:tc>
      </w:tr>
      <w:tr w:rsidR="008F265F" w14:paraId="1797D690"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434737C0"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计划十</w:t>
            </w:r>
          </w:p>
        </w:tc>
        <w:tc>
          <w:tcPr>
            <w:tcW w:w="6379" w:type="dxa"/>
            <w:tcBorders>
              <w:top w:val="nil"/>
              <w:left w:val="nil"/>
              <w:bottom w:val="single" w:sz="4" w:space="0" w:color="auto"/>
              <w:right w:val="single" w:sz="4" w:space="0" w:color="auto"/>
            </w:tcBorders>
            <w:shd w:val="clear" w:color="auto" w:fill="auto"/>
            <w:vAlign w:val="center"/>
          </w:tcPr>
          <w:p w14:paraId="1E32A2AF"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基本部分（其中身故或全残保险金选择方案二）、可选部分的疾病关爱保险金</w:t>
            </w:r>
          </w:p>
        </w:tc>
      </w:tr>
      <w:tr w:rsidR="008F265F" w14:paraId="361220D4"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370F14A0"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计划十一</w:t>
            </w:r>
          </w:p>
        </w:tc>
        <w:tc>
          <w:tcPr>
            <w:tcW w:w="6379" w:type="dxa"/>
            <w:tcBorders>
              <w:top w:val="nil"/>
              <w:left w:val="nil"/>
              <w:bottom w:val="single" w:sz="4" w:space="0" w:color="auto"/>
              <w:right w:val="single" w:sz="4" w:space="0" w:color="auto"/>
            </w:tcBorders>
            <w:shd w:val="clear" w:color="auto" w:fill="auto"/>
            <w:vAlign w:val="center"/>
          </w:tcPr>
          <w:p w14:paraId="58970E72"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基本部分（其中身故或全残保险金选择方案二）、可选部分的重大疾病多次给付保险金</w:t>
            </w:r>
          </w:p>
        </w:tc>
      </w:tr>
      <w:tr w:rsidR="008F265F" w14:paraId="16E86891"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708230B1"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计划十二</w:t>
            </w:r>
          </w:p>
        </w:tc>
        <w:tc>
          <w:tcPr>
            <w:tcW w:w="6379" w:type="dxa"/>
            <w:tcBorders>
              <w:top w:val="nil"/>
              <w:left w:val="nil"/>
              <w:bottom w:val="single" w:sz="4" w:space="0" w:color="auto"/>
              <w:right w:val="single" w:sz="4" w:space="0" w:color="auto"/>
            </w:tcBorders>
            <w:shd w:val="clear" w:color="auto" w:fill="auto"/>
            <w:vAlign w:val="center"/>
          </w:tcPr>
          <w:p w14:paraId="4D92E1AC"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基本部分（其中身故或全残保险金选择方案二）、可选部分的“恶性肿瘤——重度”关爱保险金</w:t>
            </w:r>
          </w:p>
        </w:tc>
      </w:tr>
      <w:tr w:rsidR="008F265F" w14:paraId="0FBFE4B7"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6D00376C"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计划十三</w:t>
            </w:r>
          </w:p>
        </w:tc>
        <w:tc>
          <w:tcPr>
            <w:tcW w:w="6379" w:type="dxa"/>
            <w:tcBorders>
              <w:top w:val="nil"/>
              <w:left w:val="nil"/>
              <w:bottom w:val="single" w:sz="4" w:space="0" w:color="auto"/>
              <w:right w:val="single" w:sz="4" w:space="0" w:color="auto"/>
            </w:tcBorders>
            <w:shd w:val="clear" w:color="auto" w:fill="auto"/>
            <w:vAlign w:val="center"/>
          </w:tcPr>
          <w:p w14:paraId="3C5B25A4"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基本部分（其中身故或全残保险金选择方案二）、可选部分的疾病关爱保险金、可选部分的重大疾病多次给付保险金</w:t>
            </w:r>
          </w:p>
        </w:tc>
      </w:tr>
      <w:tr w:rsidR="008F265F" w14:paraId="75EB7CB8"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4FB5F5AE"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计划十四</w:t>
            </w:r>
          </w:p>
        </w:tc>
        <w:tc>
          <w:tcPr>
            <w:tcW w:w="6379" w:type="dxa"/>
            <w:tcBorders>
              <w:top w:val="nil"/>
              <w:left w:val="nil"/>
              <w:bottom w:val="single" w:sz="4" w:space="0" w:color="auto"/>
              <w:right w:val="single" w:sz="4" w:space="0" w:color="auto"/>
            </w:tcBorders>
            <w:shd w:val="clear" w:color="auto" w:fill="auto"/>
            <w:vAlign w:val="center"/>
          </w:tcPr>
          <w:p w14:paraId="129EECB4"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基本部分（其中身故或全残保险金选择方案二）、可选部分的疾病关爱保险金、可选部分的“恶性肿瘤——重度”关爱保险金</w:t>
            </w:r>
          </w:p>
        </w:tc>
      </w:tr>
      <w:tr w:rsidR="008F265F" w14:paraId="4EAF9D8A"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661C9C0C"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计划十五</w:t>
            </w:r>
          </w:p>
        </w:tc>
        <w:tc>
          <w:tcPr>
            <w:tcW w:w="6379" w:type="dxa"/>
            <w:tcBorders>
              <w:top w:val="nil"/>
              <w:left w:val="nil"/>
              <w:bottom w:val="single" w:sz="4" w:space="0" w:color="auto"/>
              <w:right w:val="single" w:sz="4" w:space="0" w:color="auto"/>
            </w:tcBorders>
            <w:shd w:val="clear" w:color="auto" w:fill="auto"/>
            <w:vAlign w:val="center"/>
          </w:tcPr>
          <w:p w14:paraId="729B6647"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基本部分（其中身故或全残保险金选择方案二）、可选部分的重大疾病多次给付保险金、可选部分的“恶性肿瘤——重度”关爱保险金</w:t>
            </w:r>
          </w:p>
        </w:tc>
      </w:tr>
      <w:tr w:rsidR="008F265F" w14:paraId="24033A02"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423B98C4" w14:textId="77777777" w:rsidR="008F265F" w:rsidRDefault="00A542E4">
            <w:pPr>
              <w:widowControl/>
              <w:jc w:val="center"/>
              <w:rPr>
                <w:rFonts w:ascii="宋体" w:hAnsi="宋体" w:cs="宋体"/>
                <w:color w:val="000000"/>
                <w:kern w:val="0"/>
                <w:szCs w:val="21"/>
              </w:rPr>
            </w:pPr>
            <w:r>
              <w:rPr>
                <w:rFonts w:ascii="宋体" w:hAnsi="宋体" w:cs="宋体" w:hint="eastAsia"/>
                <w:color w:val="000000"/>
                <w:kern w:val="0"/>
                <w:szCs w:val="21"/>
              </w:rPr>
              <w:t>计划十六</w:t>
            </w:r>
          </w:p>
        </w:tc>
        <w:tc>
          <w:tcPr>
            <w:tcW w:w="6379" w:type="dxa"/>
            <w:tcBorders>
              <w:top w:val="nil"/>
              <w:left w:val="nil"/>
              <w:bottom w:val="single" w:sz="4" w:space="0" w:color="auto"/>
              <w:right w:val="single" w:sz="4" w:space="0" w:color="auto"/>
            </w:tcBorders>
            <w:shd w:val="clear" w:color="auto" w:fill="auto"/>
            <w:vAlign w:val="center"/>
          </w:tcPr>
          <w:p w14:paraId="036064AF" w14:textId="77777777" w:rsidR="008F265F" w:rsidRDefault="00A542E4">
            <w:pPr>
              <w:widowControl/>
              <w:jc w:val="left"/>
              <w:rPr>
                <w:rFonts w:ascii="宋体" w:hAnsi="宋体" w:cs="宋体"/>
                <w:color w:val="000000"/>
                <w:kern w:val="0"/>
                <w:szCs w:val="21"/>
              </w:rPr>
            </w:pPr>
            <w:r>
              <w:rPr>
                <w:rFonts w:ascii="宋体" w:hAnsi="宋体" w:cs="宋体" w:hint="eastAsia"/>
                <w:color w:val="000000"/>
                <w:kern w:val="0"/>
                <w:szCs w:val="21"/>
              </w:rPr>
              <w:t>基本部分（其中身故或全残保险金选择方案二）、可选部分的疾病关爱保险金、可选部分的重大疾病多次给付保险金、可选部分的“恶性肿瘤——重度”关爱保险金</w:t>
            </w:r>
          </w:p>
        </w:tc>
      </w:tr>
      <w:tr w:rsidR="00330C9C" w14:paraId="18C135CC"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2AD52D8E"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计划十七</w:t>
            </w:r>
          </w:p>
        </w:tc>
        <w:tc>
          <w:tcPr>
            <w:tcW w:w="6379" w:type="dxa"/>
            <w:tcBorders>
              <w:top w:val="nil"/>
              <w:left w:val="nil"/>
              <w:bottom w:val="single" w:sz="4" w:space="0" w:color="auto"/>
              <w:right w:val="single" w:sz="4" w:space="0" w:color="auto"/>
            </w:tcBorders>
            <w:shd w:val="clear" w:color="auto" w:fill="auto"/>
            <w:vAlign w:val="center"/>
          </w:tcPr>
          <w:p w14:paraId="4F41575C" w14:textId="1AAF33C8"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基本部分（其中身故或全残保险金选择方案一）、可选部分的重症监护病房补贴保险金</w:t>
            </w:r>
          </w:p>
        </w:tc>
      </w:tr>
      <w:tr w:rsidR="00330C9C" w14:paraId="4B2163FF"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473990A0"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计划十八</w:t>
            </w:r>
          </w:p>
        </w:tc>
        <w:tc>
          <w:tcPr>
            <w:tcW w:w="6379" w:type="dxa"/>
            <w:tcBorders>
              <w:top w:val="nil"/>
              <w:left w:val="nil"/>
              <w:bottom w:val="single" w:sz="4" w:space="0" w:color="auto"/>
              <w:right w:val="single" w:sz="4" w:space="0" w:color="auto"/>
            </w:tcBorders>
            <w:shd w:val="clear" w:color="auto" w:fill="auto"/>
            <w:vAlign w:val="center"/>
          </w:tcPr>
          <w:p w14:paraId="066E28D7" w14:textId="2C0AC617"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基本部分（其中身故或全残保险金选择方案一）、可选部分的疾病关爱保险金、可选部分的重症监护病房补贴保险金</w:t>
            </w:r>
          </w:p>
        </w:tc>
      </w:tr>
      <w:tr w:rsidR="00330C9C" w14:paraId="01EEBB57"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5B0607B3"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计划十九</w:t>
            </w:r>
          </w:p>
        </w:tc>
        <w:tc>
          <w:tcPr>
            <w:tcW w:w="6379" w:type="dxa"/>
            <w:tcBorders>
              <w:top w:val="nil"/>
              <w:left w:val="nil"/>
              <w:bottom w:val="single" w:sz="4" w:space="0" w:color="auto"/>
              <w:right w:val="single" w:sz="4" w:space="0" w:color="auto"/>
            </w:tcBorders>
            <w:shd w:val="clear" w:color="auto" w:fill="auto"/>
            <w:vAlign w:val="center"/>
          </w:tcPr>
          <w:p w14:paraId="1162449B" w14:textId="1A08CE96"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基本部分（其中身故或全残保险金选择方案一）、可选部分的重大疾病多次给付保险金、可选部分的重症监护病房补贴保险金</w:t>
            </w:r>
          </w:p>
        </w:tc>
      </w:tr>
      <w:tr w:rsidR="00330C9C" w14:paraId="778D58AB"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3E95A197"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计划二十</w:t>
            </w:r>
          </w:p>
        </w:tc>
        <w:tc>
          <w:tcPr>
            <w:tcW w:w="6379" w:type="dxa"/>
            <w:tcBorders>
              <w:top w:val="nil"/>
              <w:left w:val="nil"/>
              <w:bottom w:val="single" w:sz="4" w:space="0" w:color="auto"/>
              <w:right w:val="single" w:sz="4" w:space="0" w:color="auto"/>
            </w:tcBorders>
            <w:shd w:val="clear" w:color="auto" w:fill="auto"/>
            <w:vAlign w:val="center"/>
          </w:tcPr>
          <w:p w14:paraId="0D65056A" w14:textId="538D086B"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基本部分（其中身故或全残保险金选择方案一）、可选部分的“恶性肿瘤——重度”关爱保险金、可选部分的重症监护病房补贴保险金</w:t>
            </w:r>
          </w:p>
        </w:tc>
      </w:tr>
      <w:tr w:rsidR="00330C9C" w14:paraId="602C27AA"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048F9BED"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lastRenderedPageBreak/>
              <w:t>计划二十一</w:t>
            </w:r>
          </w:p>
        </w:tc>
        <w:tc>
          <w:tcPr>
            <w:tcW w:w="6379" w:type="dxa"/>
            <w:tcBorders>
              <w:top w:val="nil"/>
              <w:left w:val="nil"/>
              <w:bottom w:val="single" w:sz="4" w:space="0" w:color="auto"/>
              <w:right w:val="single" w:sz="4" w:space="0" w:color="auto"/>
            </w:tcBorders>
            <w:shd w:val="clear" w:color="auto" w:fill="auto"/>
            <w:vAlign w:val="center"/>
          </w:tcPr>
          <w:p w14:paraId="145D73B2" w14:textId="711A1FAA"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基本部分（其中身故或全残保险金选择方案一）、可选部分的疾病关爱保险金、可选部分的重大疾病多次给付保险金、可选部分的重症监护病房补贴保险金</w:t>
            </w:r>
          </w:p>
        </w:tc>
      </w:tr>
      <w:tr w:rsidR="00330C9C" w14:paraId="3F6050B9"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18FA80D9"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计划二十二</w:t>
            </w:r>
          </w:p>
        </w:tc>
        <w:tc>
          <w:tcPr>
            <w:tcW w:w="6379" w:type="dxa"/>
            <w:tcBorders>
              <w:top w:val="nil"/>
              <w:left w:val="nil"/>
              <w:bottom w:val="single" w:sz="4" w:space="0" w:color="auto"/>
              <w:right w:val="single" w:sz="4" w:space="0" w:color="auto"/>
            </w:tcBorders>
            <w:shd w:val="clear" w:color="auto" w:fill="auto"/>
            <w:vAlign w:val="center"/>
          </w:tcPr>
          <w:p w14:paraId="5D2DC15F" w14:textId="6170AA30"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基本部分（其中身故或全残保险金选择方案一）、可选部分的疾病关爱保险金、可选部分的“恶性肿瘤——重度”关爱保险金、可选部分的重症监护病房补贴保险金</w:t>
            </w:r>
          </w:p>
        </w:tc>
      </w:tr>
      <w:tr w:rsidR="00330C9C" w14:paraId="53355BEB"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6D05A2AB"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计划二十三</w:t>
            </w:r>
          </w:p>
        </w:tc>
        <w:tc>
          <w:tcPr>
            <w:tcW w:w="6379" w:type="dxa"/>
            <w:tcBorders>
              <w:top w:val="nil"/>
              <w:left w:val="nil"/>
              <w:bottom w:val="single" w:sz="4" w:space="0" w:color="auto"/>
              <w:right w:val="single" w:sz="4" w:space="0" w:color="auto"/>
            </w:tcBorders>
            <w:shd w:val="clear" w:color="auto" w:fill="auto"/>
            <w:vAlign w:val="center"/>
          </w:tcPr>
          <w:p w14:paraId="0C3E75AE" w14:textId="71887C7C"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基本部分（其中身故或全残保险金选择方案一）、可选部分的重大疾病多次给付保险金、可选部分的“恶性肿瘤——重度”关爱保险金、可选部分的重症监护病房补贴保险金</w:t>
            </w:r>
          </w:p>
        </w:tc>
      </w:tr>
      <w:tr w:rsidR="00330C9C" w14:paraId="66C5B8C8"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411419B1"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计划二十四</w:t>
            </w:r>
          </w:p>
        </w:tc>
        <w:tc>
          <w:tcPr>
            <w:tcW w:w="6379" w:type="dxa"/>
            <w:tcBorders>
              <w:top w:val="nil"/>
              <w:left w:val="nil"/>
              <w:bottom w:val="single" w:sz="4" w:space="0" w:color="auto"/>
              <w:right w:val="single" w:sz="4" w:space="0" w:color="auto"/>
            </w:tcBorders>
            <w:shd w:val="clear" w:color="auto" w:fill="auto"/>
            <w:vAlign w:val="center"/>
          </w:tcPr>
          <w:p w14:paraId="3B2A748A" w14:textId="11B6422D"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基本部分（其中身故或全残保险金选择方案一）、可选部分的疾病关爱保险金、可选部分的重大疾病多次给付保险金、可选部分的“恶性肿瘤——重度”关爱保险金、可选部分的重症监护病房补贴保险金</w:t>
            </w:r>
          </w:p>
        </w:tc>
      </w:tr>
      <w:tr w:rsidR="00330C9C" w14:paraId="6498B222"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4A4ECB04"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计划二十五</w:t>
            </w:r>
          </w:p>
        </w:tc>
        <w:tc>
          <w:tcPr>
            <w:tcW w:w="6379" w:type="dxa"/>
            <w:tcBorders>
              <w:top w:val="nil"/>
              <w:left w:val="nil"/>
              <w:bottom w:val="single" w:sz="4" w:space="0" w:color="auto"/>
              <w:right w:val="single" w:sz="4" w:space="0" w:color="auto"/>
            </w:tcBorders>
            <w:shd w:val="clear" w:color="auto" w:fill="auto"/>
            <w:vAlign w:val="center"/>
          </w:tcPr>
          <w:p w14:paraId="4BCF23AE" w14:textId="081B77BC"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基本部分（其中身故或全残保险金选择方案二）、可选部分的重症监护病房补贴保险金</w:t>
            </w:r>
          </w:p>
        </w:tc>
      </w:tr>
      <w:tr w:rsidR="00330C9C" w14:paraId="4C147DF9"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50F6C015"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计划二十六</w:t>
            </w:r>
          </w:p>
        </w:tc>
        <w:tc>
          <w:tcPr>
            <w:tcW w:w="6379" w:type="dxa"/>
            <w:tcBorders>
              <w:top w:val="nil"/>
              <w:left w:val="nil"/>
              <w:bottom w:val="single" w:sz="4" w:space="0" w:color="auto"/>
              <w:right w:val="single" w:sz="4" w:space="0" w:color="auto"/>
            </w:tcBorders>
            <w:shd w:val="clear" w:color="auto" w:fill="auto"/>
            <w:vAlign w:val="center"/>
          </w:tcPr>
          <w:p w14:paraId="2533B787" w14:textId="775DD18A"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基本部分（其中身故或全残保险金选择方案二）、可选部分的疾病关爱保险金、可选部分的重症监护病房补贴保险金</w:t>
            </w:r>
          </w:p>
        </w:tc>
      </w:tr>
      <w:tr w:rsidR="00330C9C" w14:paraId="7E03BA8D"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4931A1AF"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计划二十七</w:t>
            </w:r>
          </w:p>
        </w:tc>
        <w:tc>
          <w:tcPr>
            <w:tcW w:w="6379" w:type="dxa"/>
            <w:tcBorders>
              <w:top w:val="nil"/>
              <w:left w:val="nil"/>
              <w:bottom w:val="single" w:sz="4" w:space="0" w:color="auto"/>
              <w:right w:val="single" w:sz="4" w:space="0" w:color="auto"/>
            </w:tcBorders>
            <w:shd w:val="clear" w:color="auto" w:fill="auto"/>
            <w:vAlign w:val="center"/>
          </w:tcPr>
          <w:p w14:paraId="10148374" w14:textId="5ED2BE93"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基本部分（其中身故或全残保险金选择方案二）、可选部分的重大疾病多次给付保险金、可选部分的重症监护病房补贴保险金</w:t>
            </w:r>
          </w:p>
        </w:tc>
      </w:tr>
      <w:tr w:rsidR="00330C9C" w14:paraId="3EC7507A"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7018A303"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计划二十八</w:t>
            </w:r>
          </w:p>
        </w:tc>
        <w:tc>
          <w:tcPr>
            <w:tcW w:w="6379" w:type="dxa"/>
            <w:tcBorders>
              <w:top w:val="nil"/>
              <w:left w:val="nil"/>
              <w:bottom w:val="single" w:sz="4" w:space="0" w:color="auto"/>
              <w:right w:val="single" w:sz="4" w:space="0" w:color="auto"/>
            </w:tcBorders>
            <w:shd w:val="clear" w:color="auto" w:fill="auto"/>
            <w:vAlign w:val="center"/>
          </w:tcPr>
          <w:p w14:paraId="7C32AA97" w14:textId="720A0E7E"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基本部分（其中身故或全残保险金选择方案二）、可选部分的“恶性肿瘤——重度”关爱保险金、可选部分的重症监护病房补贴保险金</w:t>
            </w:r>
          </w:p>
        </w:tc>
      </w:tr>
      <w:tr w:rsidR="00330C9C" w14:paraId="6B2B9AA5"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7F672844"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计划二十九</w:t>
            </w:r>
          </w:p>
        </w:tc>
        <w:tc>
          <w:tcPr>
            <w:tcW w:w="6379" w:type="dxa"/>
            <w:tcBorders>
              <w:top w:val="nil"/>
              <w:left w:val="nil"/>
              <w:bottom w:val="single" w:sz="4" w:space="0" w:color="auto"/>
              <w:right w:val="single" w:sz="4" w:space="0" w:color="auto"/>
            </w:tcBorders>
            <w:shd w:val="clear" w:color="auto" w:fill="auto"/>
            <w:vAlign w:val="center"/>
          </w:tcPr>
          <w:p w14:paraId="3380B1A3" w14:textId="165D068B"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基本部分（其中身故或全残保险金选择方案二）、可选部分的疾病关爱保险金、可选部分的重大疾病多次给付保险金、可选部分的重症监护病房补贴保险金</w:t>
            </w:r>
          </w:p>
        </w:tc>
      </w:tr>
      <w:tr w:rsidR="00330C9C" w14:paraId="4B7D6176"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02D8A362"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计划三十</w:t>
            </w:r>
          </w:p>
        </w:tc>
        <w:tc>
          <w:tcPr>
            <w:tcW w:w="6379" w:type="dxa"/>
            <w:tcBorders>
              <w:top w:val="nil"/>
              <w:left w:val="nil"/>
              <w:bottom w:val="single" w:sz="4" w:space="0" w:color="auto"/>
              <w:right w:val="single" w:sz="4" w:space="0" w:color="auto"/>
            </w:tcBorders>
            <w:shd w:val="clear" w:color="auto" w:fill="auto"/>
            <w:vAlign w:val="center"/>
          </w:tcPr>
          <w:p w14:paraId="4C008865" w14:textId="27747C89"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基本部分（其中身故或全残保险金选择方案二）、可选部分的疾病关爱保险金、可选部分的“恶性肿瘤——重度”关爱保险金、可选部分的重症监护病房补贴保险金</w:t>
            </w:r>
          </w:p>
        </w:tc>
      </w:tr>
      <w:tr w:rsidR="00330C9C" w14:paraId="397A9661"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2410C363"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计划三十一</w:t>
            </w:r>
          </w:p>
        </w:tc>
        <w:tc>
          <w:tcPr>
            <w:tcW w:w="6379" w:type="dxa"/>
            <w:tcBorders>
              <w:top w:val="nil"/>
              <w:left w:val="nil"/>
              <w:bottom w:val="single" w:sz="4" w:space="0" w:color="auto"/>
              <w:right w:val="single" w:sz="4" w:space="0" w:color="auto"/>
            </w:tcBorders>
            <w:shd w:val="clear" w:color="auto" w:fill="auto"/>
            <w:vAlign w:val="center"/>
          </w:tcPr>
          <w:p w14:paraId="32246670" w14:textId="65DA4BCD"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基本部分（其中身故或全残保险金选择方案二）、可选部分的重大疾病多次给付保险金、可选部分的“恶性肿瘤——重度”关爱保险金、可选部分的重症监护病房补贴保险金</w:t>
            </w:r>
          </w:p>
        </w:tc>
      </w:tr>
      <w:tr w:rsidR="00330C9C" w14:paraId="23B7CF79" w14:textId="77777777">
        <w:trPr>
          <w:trHeight w:val="20"/>
          <w:jc w:val="center"/>
        </w:trPr>
        <w:tc>
          <w:tcPr>
            <w:tcW w:w="1271" w:type="dxa"/>
            <w:tcBorders>
              <w:top w:val="nil"/>
              <w:left w:val="single" w:sz="4" w:space="0" w:color="auto"/>
              <w:bottom w:val="single" w:sz="4" w:space="0" w:color="auto"/>
              <w:right w:val="single" w:sz="4" w:space="0" w:color="auto"/>
            </w:tcBorders>
            <w:shd w:val="clear" w:color="auto" w:fill="auto"/>
            <w:vAlign w:val="center"/>
          </w:tcPr>
          <w:p w14:paraId="2EE7C9DA" w14:textId="77777777" w:rsidR="00330C9C" w:rsidRDefault="00330C9C" w:rsidP="00330C9C">
            <w:pPr>
              <w:widowControl/>
              <w:jc w:val="center"/>
              <w:rPr>
                <w:rFonts w:ascii="宋体" w:hAnsi="宋体" w:cs="宋体"/>
                <w:color w:val="000000"/>
                <w:kern w:val="0"/>
                <w:szCs w:val="21"/>
              </w:rPr>
            </w:pPr>
            <w:r>
              <w:rPr>
                <w:rFonts w:ascii="宋体" w:hAnsi="宋体" w:cs="宋体" w:hint="eastAsia"/>
                <w:color w:val="000000"/>
                <w:kern w:val="0"/>
                <w:szCs w:val="21"/>
              </w:rPr>
              <w:t>计划三十二</w:t>
            </w:r>
          </w:p>
        </w:tc>
        <w:tc>
          <w:tcPr>
            <w:tcW w:w="6379" w:type="dxa"/>
            <w:tcBorders>
              <w:top w:val="nil"/>
              <w:left w:val="nil"/>
              <w:bottom w:val="single" w:sz="4" w:space="0" w:color="auto"/>
              <w:right w:val="single" w:sz="4" w:space="0" w:color="auto"/>
            </w:tcBorders>
            <w:shd w:val="clear" w:color="auto" w:fill="auto"/>
            <w:vAlign w:val="center"/>
          </w:tcPr>
          <w:p w14:paraId="0D377608" w14:textId="0DD49CC2" w:rsidR="00330C9C" w:rsidRDefault="00330C9C" w:rsidP="00330C9C">
            <w:pPr>
              <w:widowControl/>
              <w:jc w:val="left"/>
              <w:rPr>
                <w:rFonts w:ascii="宋体" w:hAnsi="宋体" w:cs="宋体"/>
                <w:color w:val="000000"/>
                <w:kern w:val="0"/>
                <w:szCs w:val="21"/>
              </w:rPr>
            </w:pPr>
            <w:r>
              <w:rPr>
                <w:rFonts w:hint="eastAsia"/>
                <w:color w:val="000000"/>
                <w:szCs w:val="21"/>
              </w:rPr>
              <w:t>基本部分（其中身故或全残保险金选择方案二）、可选部分的疾病关爱保险金、可选部分的重大疾病多次给付保险金、可选部分的“恶性肿瘤——重度”关爱保险金、可选部分的重症监护病房补贴保险金</w:t>
            </w:r>
          </w:p>
        </w:tc>
      </w:tr>
    </w:tbl>
    <w:p w14:paraId="5D9F2222" w14:textId="77777777" w:rsidR="008F265F" w:rsidRDefault="00A542E4">
      <w:pPr>
        <w:spacing w:beforeLines="50" w:before="156"/>
        <w:ind w:firstLineChars="200" w:firstLine="420"/>
        <w:rPr>
          <w:rFonts w:ascii="宋体" w:hAnsi="宋体" w:cs="宋体"/>
          <w:kern w:val="0"/>
          <w:szCs w:val="21"/>
          <w:shd w:val="pct10" w:color="auto" w:fill="FFFFFF"/>
        </w:rPr>
      </w:pPr>
      <w:r w:rsidRPr="000037DF">
        <w:rPr>
          <w:rFonts w:ascii="宋体" w:hAnsi="宋体" w:cs="宋体" w:hint="eastAsia"/>
          <w:kern w:val="0"/>
          <w:szCs w:val="21"/>
          <w:shd w:val="pct15" w:color="auto" w:fill="FFFFFF"/>
        </w:rPr>
        <w:t>自本主险合同生效（或最后复效）之日起一百八十日内为等待期。</w:t>
      </w:r>
    </w:p>
    <w:p w14:paraId="3CED4FA3" w14:textId="77777777" w:rsidR="008F265F" w:rsidRPr="000037DF" w:rsidRDefault="00A542E4">
      <w:pPr>
        <w:pStyle w:val="af5"/>
        <w:spacing w:before="156"/>
        <w:ind w:firstLineChars="0"/>
        <w:rPr>
          <w:rFonts w:cs="宋体"/>
          <w:kern w:val="0"/>
          <w:szCs w:val="21"/>
          <w:shd w:val="pct15" w:color="auto" w:fill="FFFFFF"/>
        </w:rPr>
      </w:pPr>
      <w:r w:rsidRPr="000037DF">
        <w:rPr>
          <w:rFonts w:cs="宋体" w:hint="eastAsia"/>
          <w:kern w:val="0"/>
          <w:szCs w:val="21"/>
          <w:shd w:val="pct15" w:color="auto" w:fill="FFFFFF"/>
        </w:rPr>
        <w:lastRenderedPageBreak/>
        <w:t>被保险人在等待期内因</w:t>
      </w:r>
      <w:r w:rsidRPr="000037DF">
        <w:rPr>
          <w:rFonts w:cs="宋体" w:hint="eastAsia"/>
          <w:b/>
          <w:kern w:val="0"/>
          <w:szCs w:val="21"/>
          <w:shd w:val="pct15" w:color="auto" w:fill="FFFFFF"/>
        </w:rPr>
        <w:t>意外伤害</w:t>
      </w:r>
      <w:r w:rsidRPr="000037DF">
        <w:rPr>
          <w:rStyle w:val="af3"/>
          <w:rFonts w:cs="宋体"/>
          <w:b/>
          <w:kern w:val="0"/>
          <w:szCs w:val="21"/>
          <w:shd w:val="pct15" w:color="auto" w:fill="FFFFFF"/>
        </w:rPr>
        <w:footnoteReference w:id="1"/>
      </w:r>
      <w:r w:rsidRPr="000037DF">
        <w:rPr>
          <w:rFonts w:cs="宋体" w:hint="eastAsia"/>
          <w:kern w:val="0"/>
          <w:szCs w:val="21"/>
          <w:shd w:val="pct15" w:color="auto" w:fill="FFFFFF"/>
        </w:rPr>
        <w:t>以外的原因导致身故、</w:t>
      </w:r>
      <w:r w:rsidRPr="000037DF">
        <w:rPr>
          <w:rFonts w:cs="宋体" w:hint="eastAsia"/>
          <w:b/>
          <w:kern w:val="0"/>
          <w:szCs w:val="21"/>
          <w:shd w:val="pct15" w:color="auto" w:fill="FFFFFF"/>
        </w:rPr>
        <w:t>全残</w:t>
      </w:r>
      <w:r w:rsidRPr="000037DF">
        <w:rPr>
          <w:rStyle w:val="af3"/>
          <w:rFonts w:cs="宋体"/>
          <w:b/>
          <w:kern w:val="0"/>
          <w:szCs w:val="21"/>
          <w:shd w:val="pct15" w:color="auto" w:fill="FFFFFF"/>
        </w:rPr>
        <w:footnoteReference w:id="2"/>
      </w:r>
      <w:r w:rsidRPr="000037DF">
        <w:rPr>
          <w:rFonts w:cs="宋体" w:hint="eastAsia"/>
          <w:kern w:val="0"/>
          <w:szCs w:val="21"/>
          <w:shd w:val="pct15" w:color="auto" w:fill="FFFFFF"/>
        </w:rPr>
        <w:t>或被确诊发生本主险合同所约定的重大疾病，我们无息退还本主险合同</w:t>
      </w:r>
      <w:r w:rsidRPr="000037DF">
        <w:rPr>
          <w:rFonts w:cs="宋体" w:hint="eastAsia"/>
          <w:b/>
          <w:kern w:val="0"/>
          <w:szCs w:val="21"/>
          <w:shd w:val="pct15" w:color="auto" w:fill="FFFFFF"/>
        </w:rPr>
        <w:t>实际已交纳</w:t>
      </w:r>
      <w:r w:rsidRPr="000037DF">
        <w:rPr>
          <w:rFonts w:cs="宋体" w:hint="eastAsia"/>
          <w:b/>
          <w:kern w:val="0"/>
          <w:szCs w:val="21"/>
          <w:shd w:val="pct15" w:color="auto" w:fill="FFFFFF"/>
        </w:rPr>
        <w:lastRenderedPageBreak/>
        <w:t>的保险费</w:t>
      </w:r>
      <w:r w:rsidRPr="000037DF">
        <w:rPr>
          <w:rStyle w:val="af3"/>
          <w:rFonts w:cs="宋体"/>
          <w:b/>
          <w:kern w:val="0"/>
          <w:szCs w:val="21"/>
          <w:shd w:val="pct15" w:color="auto" w:fill="FFFFFF"/>
        </w:rPr>
        <w:footnoteReference w:id="3"/>
      </w:r>
      <w:r w:rsidRPr="000037DF">
        <w:rPr>
          <w:rFonts w:cs="宋体" w:hint="eastAsia"/>
          <w:kern w:val="0"/>
          <w:szCs w:val="21"/>
          <w:shd w:val="pct15" w:color="auto" w:fill="FFFFFF"/>
        </w:rPr>
        <w:t>，本主险合同终止。</w:t>
      </w:r>
    </w:p>
    <w:p w14:paraId="33F6C9D4" w14:textId="77777777" w:rsidR="008F265F" w:rsidRPr="000037DF" w:rsidRDefault="00A542E4">
      <w:pPr>
        <w:pStyle w:val="af5"/>
        <w:spacing w:before="156"/>
        <w:ind w:firstLineChars="0"/>
        <w:rPr>
          <w:rFonts w:cs="宋体"/>
          <w:kern w:val="0"/>
          <w:szCs w:val="21"/>
          <w:shd w:val="pct15" w:color="auto" w:fill="FFFFFF"/>
        </w:rPr>
      </w:pPr>
      <w:r w:rsidRPr="000037DF">
        <w:rPr>
          <w:rFonts w:cs="宋体"/>
          <w:kern w:val="0"/>
          <w:szCs w:val="21"/>
          <w:shd w:val="pct15" w:color="auto" w:fill="FFFFFF"/>
        </w:rPr>
        <w:t>被保险人在等待期内因意外伤害</w:t>
      </w:r>
      <w:r w:rsidRPr="000037DF">
        <w:rPr>
          <w:rFonts w:cs="宋体" w:hint="eastAsia"/>
          <w:kern w:val="0"/>
          <w:szCs w:val="21"/>
          <w:shd w:val="pct15" w:color="auto" w:fill="FFFFFF"/>
        </w:rPr>
        <w:t>以外</w:t>
      </w:r>
      <w:r w:rsidRPr="000037DF">
        <w:rPr>
          <w:rFonts w:cs="宋体"/>
          <w:kern w:val="0"/>
          <w:szCs w:val="21"/>
          <w:shd w:val="pct15" w:color="auto" w:fill="FFFFFF"/>
        </w:rPr>
        <w:t>的原因</w:t>
      </w:r>
      <w:r w:rsidRPr="000037DF">
        <w:rPr>
          <w:rFonts w:cs="宋体" w:hint="eastAsia"/>
          <w:kern w:val="0"/>
          <w:szCs w:val="21"/>
          <w:shd w:val="pct15" w:color="auto" w:fill="FFFFFF"/>
        </w:rPr>
        <w:t>被确诊</w:t>
      </w:r>
      <w:r w:rsidRPr="000037DF">
        <w:rPr>
          <w:rFonts w:cs="宋体"/>
          <w:kern w:val="0"/>
          <w:szCs w:val="21"/>
          <w:shd w:val="pct15" w:color="auto" w:fill="FFFFFF"/>
        </w:rPr>
        <w:t>发生本主险合同所约定的轻症疾病</w:t>
      </w:r>
      <w:r w:rsidRPr="000037DF">
        <w:rPr>
          <w:rFonts w:cs="宋体" w:hint="eastAsia"/>
          <w:kern w:val="0"/>
          <w:szCs w:val="21"/>
          <w:shd w:val="pct15" w:color="auto" w:fill="FFFFFF"/>
        </w:rPr>
        <w:t>或中症疾病，我们不承担且不再承担此种轻症疾病或中症疾病所对应的保险责任，本主险合同继续有效。</w:t>
      </w:r>
    </w:p>
    <w:p w14:paraId="1DA98A3B" w14:textId="64F18B02" w:rsidR="008F265F" w:rsidRPr="000037DF" w:rsidRDefault="00A542E4">
      <w:pPr>
        <w:pStyle w:val="af5"/>
        <w:spacing w:before="156"/>
        <w:ind w:firstLineChars="0"/>
        <w:rPr>
          <w:rFonts w:cs="宋体"/>
          <w:kern w:val="0"/>
          <w:szCs w:val="21"/>
          <w:shd w:val="pct15" w:color="auto" w:fill="FFFFFF"/>
        </w:rPr>
      </w:pPr>
      <w:r w:rsidRPr="000037DF">
        <w:rPr>
          <w:rFonts w:cs="宋体" w:hint="eastAsia"/>
          <w:kern w:val="0"/>
          <w:szCs w:val="21"/>
          <w:shd w:val="pct15" w:color="auto" w:fill="FFFFFF"/>
        </w:rPr>
        <w:t>若您投保时选择的保障计划包含可选部分的</w:t>
      </w:r>
      <w:r w:rsidRPr="000037DF">
        <w:rPr>
          <w:rFonts w:cs="宋体" w:hint="eastAsia"/>
          <w:b/>
          <w:kern w:val="0"/>
          <w:szCs w:val="21"/>
          <w:shd w:val="pct15" w:color="auto" w:fill="FFFFFF"/>
        </w:rPr>
        <w:t>重症监护病房</w:t>
      </w:r>
      <w:r w:rsidRPr="000037DF">
        <w:rPr>
          <w:rStyle w:val="af3"/>
          <w:rFonts w:cs="宋体"/>
          <w:b/>
          <w:kern w:val="0"/>
          <w:szCs w:val="21"/>
          <w:shd w:val="pct15" w:color="auto" w:fill="FFFFFF"/>
        </w:rPr>
        <w:footnoteReference w:id="4"/>
      </w:r>
      <w:r w:rsidRPr="000037DF">
        <w:rPr>
          <w:rFonts w:cs="宋体" w:hint="eastAsia"/>
          <w:kern w:val="0"/>
          <w:szCs w:val="21"/>
          <w:shd w:val="pct15" w:color="auto" w:fill="FFFFFF"/>
        </w:rPr>
        <w:t>补贴保险金责任，且被保险人在等待期内因意外伤害以外的原因导致入住重症监护病房，我们不承担重症监护病房补贴保险金责任。</w:t>
      </w:r>
    </w:p>
    <w:p w14:paraId="2EC0794C" w14:textId="77777777" w:rsidR="008F265F" w:rsidRDefault="00A542E4">
      <w:pPr>
        <w:pStyle w:val="af5"/>
        <w:spacing w:before="156"/>
        <w:ind w:firstLineChars="0"/>
        <w:rPr>
          <w:rFonts w:cs="宋体"/>
          <w:strike/>
          <w:kern w:val="0"/>
          <w:szCs w:val="21"/>
        </w:rPr>
      </w:pPr>
      <w:r>
        <w:rPr>
          <w:rFonts w:cs="宋体"/>
          <w:kern w:val="0"/>
          <w:szCs w:val="21"/>
        </w:rPr>
        <w:t>被保险人因遭受意外伤害发生本</w:t>
      </w:r>
      <w:r>
        <w:rPr>
          <w:rFonts w:cs="宋体" w:hint="eastAsia"/>
          <w:kern w:val="0"/>
          <w:szCs w:val="21"/>
        </w:rPr>
        <w:t>主险</w:t>
      </w:r>
      <w:r>
        <w:rPr>
          <w:rFonts w:cs="宋体"/>
          <w:kern w:val="0"/>
          <w:szCs w:val="21"/>
        </w:rPr>
        <w:t>合同所约定的保险事故的</w:t>
      </w:r>
      <w:r>
        <w:rPr>
          <w:rFonts w:cs="宋体" w:hint="eastAsia"/>
          <w:kern w:val="0"/>
          <w:szCs w:val="21"/>
        </w:rPr>
        <w:t>，</w:t>
      </w:r>
      <w:r>
        <w:rPr>
          <w:rFonts w:cs="宋体"/>
          <w:kern w:val="0"/>
          <w:szCs w:val="21"/>
        </w:rPr>
        <w:t>无等待期</w:t>
      </w:r>
      <w:r>
        <w:rPr>
          <w:rFonts w:cs="宋体" w:hint="eastAsia"/>
          <w:kern w:val="0"/>
          <w:szCs w:val="21"/>
        </w:rPr>
        <w:t>。</w:t>
      </w:r>
    </w:p>
    <w:p w14:paraId="28FA18C0" w14:textId="58B1780F"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在本主险合同保险期间内，若被保险人因意外伤害或等待期后因意外伤害以外的原因发生本主险合同所约定的保险事故，我们按照本主险合同约定给付下列保险金：</w:t>
      </w:r>
    </w:p>
    <w:p w14:paraId="1D9443CF" w14:textId="77777777" w:rsidR="008F265F" w:rsidRDefault="00A542E4">
      <w:pPr>
        <w:spacing w:beforeLines="50" w:before="156"/>
        <w:ind w:firstLineChars="200" w:firstLine="420"/>
        <w:rPr>
          <w:rFonts w:ascii="宋体" w:hAnsi="宋体" w:cs="宋体"/>
          <w:kern w:val="0"/>
          <w:szCs w:val="21"/>
        </w:rPr>
      </w:pPr>
      <w:r>
        <w:rPr>
          <w:rFonts w:ascii="宋体" w:hAnsi="宋体" w:cs="宋体"/>
          <w:kern w:val="0"/>
          <w:szCs w:val="21"/>
        </w:rPr>
        <w:t>一</w:t>
      </w:r>
      <w:r>
        <w:rPr>
          <w:rFonts w:ascii="宋体" w:hAnsi="宋体" w:cs="宋体" w:hint="eastAsia"/>
          <w:kern w:val="0"/>
          <w:szCs w:val="21"/>
        </w:rPr>
        <w:t>、</w:t>
      </w:r>
      <w:r>
        <w:rPr>
          <w:rFonts w:ascii="宋体" w:hAnsi="宋体" w:cs="宋体"/>
          <w:kern w:val="0"/>
          <w:szCs w:val="21"/>
        </w:rPr>
        <w:t>基本部分</w:t>
      </w:r>
    </w:p>
    <w:p w14:paraId="5BFA2FAB" w14:textId="77777777" w:rsidR="008F265F" w:rsidRDefault="00A542E4">
      <w:pPr>
        <w:spacing w:beforeLines="50" w:before="156"/>
        <w:ind w:firstLineChars="200" w:firstLine="420"/>
        <w:rPr>
          <w:rFonts w:ascii="宋体" w:hAnsi="宋体"/>
          <w:bCs/>
        </w:rPr>
      </w:pPr>
      <w:r>
        <w:rPr>
          <w:rFonts w:ascii="宋体" w:hAnsi="宋体" w:hint="eastAsia"/>
          <w:bCs/>
        </w:rPr>
        <w:t>（一）轻症疾病保险金</w:t>
      </w:r>
    </w:p>
    <w:p w14:paraId="28039A4D"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lastRenderedPageBreak/>
        <w:t>若</w:t>
      </w:r>
      <w:r>
        <w:rPr>
          <w:rFonts w:ascii="宋体" w:hAnsi="宋体" w:cs="宋体"/>
          <w:kern w:val="0"/>
          <w:szCs w:val="21"/>
        </w:rPr>
        <w:t>被保险人</w:t>
      </w:r>
      <w:r>
        <w:rPr>
          <w:rFonts w:ascii="宋体" w:hAnsi="宋体" w:cs="宋体" w:hint="eastAsia"/>
          <w:kern w:val="0"/>
          <w:szCs w:val="21"/>
        </w:rPr>
        <w:t>由</w:t>
      </w:r>
      <w:r>
        <w:rPr>
          <w:rFonts w:ascii="宋体" w:hAnsi="宋体" w:cs="宋体"/>
          <w:b/>
          <w:kern w:val="0"/>
          <w:szCs w:val="21"/>
        </w:rPr>
        <w:t>我们认可的医院</w:t>
      </w:r>
      <w:r>
        <w:rPr>
          <w:rStyle w:val="af3"/>
          <w:rFonts w:ascii="宋体" w:hAnsi="宋体" w:cs="宋体"/>
          <w:b/>
          <w:kern w:val="0"/>
          <w:szCs w:val="21"/>
        </w:rPr>
        <w:footnoteReference w:id="5"/>
      </w:r>
      <w:r>
        <w:rPr>
          <w:rFonts w:ascii="宋体" w:hAnsi="宋体" w:cs="宋体" w:hint="eastAsia"/>
          <w:kern w:val="0"/>
          <w:szCs w:val="21"/>
        </w:rPr>
        <w:t>的</w:t>
      </w:r>
      <w:r>
        <w:rPr>
          <w:rFonts w:ascii="宋体" w:hAnsi="宋体" w:cs="宋体" w:hint="eastAsia"/>
          <w:b/>
          <w:kern w:val="0"/>
          <w:szCs w:val="21"/>
        </w:rPr>
        <w:t>专科</w:t>
      </w:r>
      <w:r>
        <w:rPr>
          <w:rFonts w:ascii="宋体" w:eastAsiaTheme="minorEastAsia" w:hAnsi="宋体" w:hint="eastAsia"/>
          <w:b/>
          <w:szCs w:val="21"/>
        </w:rPr>
        <w:t>医</w:t>
      </w:r>
      <w:r>
        <w:rPr>
          <w:rFonts w:ascii="宋体" w:eastAsiaTheme="minorEastAsia" w:hAnsi="宋体"/>
          <w:b/>
          <w:szCs w:val="21"/>
        </w:rPr>
        <w:t>生</w:t>
      </w:r>
      <w:r>
        <w:rPr>
          <w:rStyle w:val="af3"/>
          <w:rFonts w:ascii="宋体" w:eastAsiaTheme="minorEastAsia" w:hAnsi="宋体"/>
          <w:b/>
        </w:rPr>
        <w:footnoteReference w:id="6"/>
      </w:r>
      <w:r>
        <w:rPr>
          <w:rFonts w:ascii="宋体" w:eastAsiaTheme="minorEastAsia" w:hAnsi="宋体" w:cs="宋体" w:hint="eastAsia"/>
          <w:b/>
          <w:kern w:val="0"/>
          <w:szCs w:val="21"/>
        </w:rPr>
        <w:t>初次</w:t>
      </w:r>
      <w:r>
        <w:rPr>
          <w:rFonts w:ascii="宋体" w:eastAsiaTheme="minorEastAsia" w:hAnsi="宋体" w:cs="宋体"/>
          <w:b/>
          <w:kern w:val="0"/>
          <w:szCs w:val="21"/>
        </w:rPr>
        <w:t>确诊</w:t>
      </w:r>
      <w:r>
        <w:rPr>
          <w:rStyle w:val="af3"/>
          <w:rFonts w:ascii="宋体" w:eastAsiaTheme="minorEastAsia" w:hAnsi="宋体" w:cs="宋体"/>
          <w:b/>
          <w:kern w:val="0"/>
        </w:rPr>
        <w:footnoteReference w:id="7"/>
      </w:r>
      <w:r>
        <w:rPr>
          <w:rFonts w:ascii="宋体" w:hAnsi="宋体" w:cs="宋体"/>
          <w:kern w:val="0"/>
          <w:szCs w:val="21"/>
        </w:rPr>
        <w:t>发生</w:t>
      </w:r>
      <w:r>
        <w:rPr>
          <w:rFonts w:ascii="宋体" w:hAnsi="宋体" w:cs="宋体" w:hint="eastAsia"/>
          <w:kern w:val="0"/>
          <w:szCs w:val="21"/>
        </w:rPr>
        <w:t>本主险合同定义的</w:t>
      </w:r>
      <w:r>
        <w:rPr>
          <w:rFonts w:ascii="宋体" w:hAnsi="宋体" w:cs="宋体"/>
          <w:kern w:val="0"/>
          <w:szCs w:val="21"/>
        </w:rPr>
        <w:t>轻症疾病</w:t>
      </w:r>
      <w:r>
        <w:rPr>
          <w:rFonts w:ascii="宋体" w:hAnsi="宋体" w:cs="宋体" w:hint="eastAsia"/>
          <w:kern w:val="0"/>
          <w:szCs w:val="21"/>
        </w:rPr>
        <w:t>，</w:t>
      </w:r>
      <w:r>
        <w:rPr>
          <w:rFonts w:ascii="宋体" w:hAnsi="宋体" w:cs="宋体"/>
          <w:szCs w:val="21"/>
        </w:rPr>
        <w:t>针对被保险人被确诊的每项轻症疾病</w:t>
      </w:r>
      <w:r>
        <w:rPr>
          <w:rFonts w:ascii="宋体" w:hAnsi="宋体" w:cs="宋体" w:hint="eastAsia"/>
          <w:kern w:val="0"/>
          <w:szCs w:val="21"/>
        </w:rPr>
        <w:t>，</w:t>
      </w:r>
      <w:r>
        <w:rPr>
          <w:rFonts w:ascii="宋体" w:hAnsi="宋体" w:cs="宋体"/>
          <w:kern w:val="0"/>
          <w:szCs w:val="21"/>
        </w:rPr>
        <w:t>我们按本主险合同基本保险金额的</w:t>
      </w:r>
      <w:r w:rsidRPr="000037DF">
        <w:rPr>
          <w:rFonts w:ascii="宋体" w:hAnsi="宋体" w:cs="宋体"/>
          <w:kern w:val="0"/>
          <w:szCs w:val="21"/>
          <w:shd w:val="pct15" w:color="auto" w:fill="FFFFFF"/>
        </w:rPr>
        <w:t>30%</w:t>
      </w:r>
      <w:r>
        <w:rPr>
          <w:rFonts w:ascii="宋体" w:hAnsi="宋体" w:cs="宋体"/>
          <w:kern w:val="0"/>
          <w:szCs w:val="21"/>
        </w:rPr>
        <w:t>给付轻症疾病保险金。</w:t>
      </w:r>
    </w:p>
    <w:p w14:paraId="7E871D36" w14:textId="77777777" w:rsidR="008F265F" w:rsidRPr="000037DF" w:rsidRDefault="00A542E4">
      <w:pPr>
        <w:spacing w:beforeLines="50" w:before="156"/>
        <w:ind w:firstLineChars="200" w:firstLine="420"/>
        <w:rPr>
          <w:rFonts w:ascii="宋体" w:hAnsi="宋体" w:cs="宋体"/>
          <w:kern w:val="0"/>
          <w:szCs w:val="21"/>
          <w:shd w:val="pct15" w:color="auto" w:fill="FFFFFF"/>
        </w:rPr>
      </w:pPr>
      <w:r w:rsidRPr="000037DF">
        <w:rPr>
          <w:rFonts w:ascii="宋体" w:hAnsi="宋体" w:cs="宋体" w:hint="eastAsia"/>
          <w:kern w:val="0"/>
          <w:szCs w:val="21"/>
          <w:shd w:val="pct15" w:color="auto" w:fill="FFFFFF"/>
        </w:rPr>
        <w:t>若被保险人因同次医疗行为、同一疾病或同次意外伤害导致其初次确诊发生本主险合同约定的两种或两种以上的轻症疾病，我们仅按一种轻症疾病给付轻症疾病保险金。</w:t>
      </w:r>
    </w:p>
    <w:p w14:paraId="2078A218" w14:textId="77777777" w:rsidR="008F265F" w:rsidRPr="000037DF" w:rsidRDefault="00A542E4">
      <w:pPr>
        <w:spacing w:beforeLines="50" w:before="156"/>
        <w:ind w:firstLineChars="200" w:firstLine="420"/>
        <w:rPr>
          <w:rFonts w:ascii="宋体" w:hAnsi="宋体" w:cs="宋体"/>
          <w:kern w:val="0"/>
          <w:szCs w:val="21"/>
          <w:shd w:val="pct15" w:color="auto" w:fill="FFFFFF"/>
        </w:rPr>
      </w:pPr>
      <w:r w:rsidRPr="000037DF">
        <w:rPr>
          <w:rFonts w:ascii="宋体" w:hAnsi="宋体" w:cs="宋体" w:hint="eastAsia"/>
          <w:kern w:val="0"/>
          <w:szCs w:val="21"/>
          <w:shd w:val="pct15" w:color="auto" w:fill="FFFFFF"/>
        </w:rPr>
        <w:t>每种轻症疾病只给付一次轻症疾病保险金，给付后该种轻症疾病保险金的保险责任终止。</w:t>
      </w:r>
    </w:p>
    <w:p w14:paraId="4EEF47C3" w14:textId="77777777" w:rsidR="008F265F" w:rsidRPr="000037DF" w:rsidRDefault="00A542E4">
      <w:pPr>
        <w:spacing w:beforeLines="50" w:before="156"/>
        <w:ind w:firstLineChars="200" w:firstLine="420"/>
        <w:rPr>
          <w:rFonts w:ascii="宋体" w:hAnsi="宋体" w:cs="宋体"/>
          <w:kern w:val="0"/>
          <w:szCs w:val="21"/>
          <w:shd w:val="pct15" w:color="auto" w:fill="FFFFFF"/>
        </w:rPr>
      </w:pPr>
      <w:r w:rsidRPr="000037DF">
        <w:rPr>
          <w:rFonts w:ascii="宋体" w:hAnsi="宋体" w:cs="宋体"/>
          <w:kern w:val="0"/>
          <w:szCs w:val="21"/>
          <w:shd w:val="pct15" w:color="auto" w:fill="FFFFFF"/>
        </w:rPr>
        <w:t>我们对轻症疾病保险金的给付次数以</w:t>
      </w:r>
      <w:r w:rsidRPr="000037DF">
        <w:rPr>
          <w:rFonts w:ascii="宋体" w:hAnsi="宋体" w:cs="宋体" w:hint="eastAsia"/>
          <w:kern w:val="0"/>
          <w:szCs w:val="21"/>
          <w:shd w:val="pct15" w:color="auto" w:fill="FFFFFF"/>
        </w:rPr>
        <w:t>五</w:t>
      </w:r>
      <w:r w:rsidRPr="000037DF">
        <w:rPr>
          <w:rFonts w:ascii="宋体" w:hAnsi="宋体" w:cs="宋体"/>
          <w:kern w:val="0"/>
          <w:szCs w:val="21"/>
          <w:shd w:val="pct15" w:color="auto" w:fill="FFFFFF"/>
        </w:rPr>
        <w:t>次为限，在</w:t>
      </w:r>
      <w:r w:rsidRPr="000037DF">
        <w:rPr>
          <w:rFonts w:ascii="宋体" w:hAnsi="宋体" w:cs="宋体" w:hint="eastAsia"/>
          <w:kern w:val="0"/>
          <w:szCs w:val="21"/>
          <w:shd w:val="pct15" w:color="auto" w:fill="FFFFFF"/>
        </w:rPr>
        <w:t>本主险合同</w:t>
      </w:r>
      <w:r w:rsidRPr="000037DF">
        <w:rPr>
          <w:rFonts w:ascii="宋体" w:hAnsi="宋体" w:cs="宋体"/>
          <w:kern w:val="0"/>
          <w:szCs w:val="21"/>
          <w:shd w:val="pct15" w:color="auto" w:fill="FFFFFF"/>
        </w:rPr>
        <w:t>有效期内，若轻症疾病保险金的</w:t>
      </w:r>
      <w:r w:rsidRPr="000037DF">
        <w:rPr>
          <w:rFonts w:ascii="宋体" w:hAnsi="宋体" w:cs="宋体" w:hint="eastAsia"/>
          <w:kern w:val="0"/>
          <w:szCs w:val="21"/>
          <w:shd w:val="pct15" w:color="auto" w:fill="FFFFFF"/>
        </w:rPr>
        <w:t>累计</w:t>
      </w:r>
      <w:r w:rsidRPr="000037DF">
        <w:rPr>
          <w:rFonts w:ascii="宋体" w:hAnsi="宋体" w:cs="宋体"/>
          <w:kern w:val="0"/>
          <w:szCs w:val="21"/>
          <w:shd w:val="pct15" w:color="auto" w:fill="FFFFFF"/>
        </w:rPr>
        <w:t>给付次数达到</w:t>
      </w:r>
      <w:r w:rsidRPr="000037DF">
        <w:rPr>
          <w:rFonts w:ascii="宋体" w:hAnsi="宋体" w:cs="宋体" w:hint="eastAsia"/>
          <w:kern w:val="0"/>
          <w:szCs w:val="21"/>
          <w:shd w:val="pct15" w:color="auto" w:fill="FFFFFF"/>
        </w:rPr>
        <w:t>五</w:t>
      </w:r>
      <w:r w:rsidRPr="000037DF">
        <w:rPr>
          <w:rFonts w:ascii="宋体" w:hAnsi="宋体" w:cs="宋体"/>
          <w:kern w:val="0"/>
          <w:szCs w:val="21"/>
          <w:shd w:val="pct15" w:color="auto" w:fill="FFFFFF"/>
        </w:rPr>
        <w:t>次，则本项保险责任终止。</w:t>
      </w:r>
    </w:p>
    <w:p w14:paraId="4CA0E3E6"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我们提供保障的轻症疾病共有</w:t>
      </w:r>
      <w:r>
        <w:rPr>
          <w:rFonts w:ascii="宋体" w:hAnsi="宋体" w:cs="宋体"/>
          <w:kern w:val="0"/>
          <w:szCs w:val="21"/>
        </w:rPr>
        <w:t>51种</w:t>
      </w:r>
      <w:r>
        <w:rPr>
          <w:rFonts w:ascii="宋体" w:hAnsi="宋体" w:cs="宋体" w:hint="eastAsia"/>
          <w:kern w:val="0"/>
          <w:szCs w:val="21"/>
        </w:rPr>
        <w:t>，名称见附表一，</w:t>
      </w:r>
      <w:r>
        <w:rPr>
          <w:rFonts w:ascii="宋体" w:hAnsi="宋体"/>
          <w:bCs/>
        </w:rPr>
        <w:t>具体释义见</w:t>
      </w:r>
      <w:r>
        <w:rPr>
          <w:rFonts w:ascii="宋体" w:hAnsi="宋体" w:cs="宋体" w:hint="eastAsia"/>
          <w:kern w:val="0"/>
          <w:szCs w:val="21"/>
        </w:rPr>
        <w:t>本主险</w:t>
      </w:r>
      <w:r>
        <w:rPr>
          <w:rFonts w:ascii="宋体" w:hAnsi="宋体" w:cs="宋体" w:hint="eastAsia"/>
          <w:kern w:val="0"/>
          <w:szCs w:val="21"/>
        </w:rPr>
        <w:lastRenderedPageBreak/>
        <w:t>合同“第二十九条</w:t>
      </w:r>
      <w:r>
        <w:rPr>
          <w:rFonts w:ascii="宋体" w:hAnsi="宋体" w:cs="宋体"/>
          <w:kern w:val="0"/>
          <w:szCs w:val="21"/>
        </w:rPr>
        <w:t xml:space="preserve"> </w:t>
      </w:r>
      <w:r>
        <w:rPr>
          <w:rFonts w:ascii="宋体" w:hAnsi="宋体" w:cs="宋体" w:hint="eastAsia"/>
          <w:kern w:val="0"/>
          <w:szCs w:val="21"/>
        </w:rPr>
        <w:t>轻症疾病的定义”。</w:t>
      </w:r>
    </w:p>
    <w:p w14:paraId="5353C326" w14:textId="77777777" w:rsidR="008F265F" w:rsidRDefault="00A542E4">
      <w:pPr>
        <w:spacing w:beforeLines="50" w:before="156"/>
        <w:ind w:firstLineChars="200" w:firstLine="420"/>
        <w:rPr>
          <w:rFonts w:ascii="宋体" w:hAnsi="宋体"/>
          <w:bCs/>
        </w:rPr>
      </w:pPr>
      <w:r>
        <w:rPr>
          <w:rFonts w:ascii="宋体" w:hAnsi="宋体" w:hint="eastAsia"/>
          <w:bCs/>
        </w:rPr>
        <w:t>（二）中症疾病保险金</w:t>
      </w:r>
    </w:p>
    <w:p w14:paraId="4F72656A"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w:t>
      </w:r>
      <w:r>
        <w:rPr>
          <w:rFonts w:ascii="宋体" w:hAnsi="宋体" w:cs="宋体"/>
          <w:kern w:val="0"/>
          <w:szCs w:val="21"/>
        </w:rPr>
        <w:t>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本主险合同定义的</w:t>
      </w:r>
      <w:r>
        <w:rPr>
          <w:rFonts w:ascii="宋体" w:hAnsi="宋体" w:cs="宋体"/>
          <w:kern w:val="0"/>
          <w:szCs w:val="21"/>
        </w:rPr>
        <w:t>中症疾病</w:t>
      </w:r>
      <w:r>
        <w:rPr>
          <w:rFonts w:ascii="宋体" w:hAnsi="宋体" w:cs="宋体" w:hint="eastAsia"/>
          <w:kern w:val="0"/>
          <w:szCs w:val="21"/>
        </w:rPr>
        <w:t>，</w:t>
      </w:r>
      <w:r>
        <w:rPr>
          <w:rFonts w:ascii="宋体" w:hAnsi="宋体" w:cs="宋体"/>
          <w:szCs w:val="21"/>
        </w:rPr>
        <w:t>针对被保险人被确诊的每项</w:t>
      </w:r>
      <w:r>
        <w:rPr>
          <w:rFonts w:ascii="宋体" w:hAnsi="宋体" w:cs="宋体" w:hint="eastAsia"/>
          <w:szCs w:val="21"/>
        </w:rPr>
        <w:t>中症疾病</w:t>
      </w:r>
      <w:r>
        <w:rPr>
          <w:rFonts w:ascii="宋体" w:hAnsi="宋体" w:cs="宋体" w:hint="eastAsia"/>
          <w:kern w:val="0"/>
          <w:szCs w:val="21"/>
        </w:rPr>
        <w:t>，</w:t>
      </w:r>
      <w:r>
        <w:rPr>
          <w:rFonts w:ascii="宋体" w:hAnsi="宋体" w:cs="宋体"/>
          <w:kern w:val="0"/>
          <w:szCs w:val="21"/>
        </w:rPr>
        <w:t>我们按本主险合同基本保险金额的</w:t>
      </w:r>
      <w:r w:rsidRPr="000037DF">
        <w:rPr>
          <w:rFonts w:ascii="宋体" w:hAnsi="宋体" w:cs="宋体"/>
          <w:kern w:val="0"/>
          <w:szCs w:val="21"/>
          <w:shd w:val="pct15" w:color="auto" w:fill="FFFFFF"/>
        </w:rPr>
        <w:t>60%</w:t>
      </w:r>
      <w:r>
        <w:rPr>
          <w:rFonts w:ascii="宋体" w:hAnsi="宋体" w:cs="宋体"/>
          <w:kern w:val="0"/>
          <w:szCs w:val="21"/>
        </w:rPr>
        <w:t>给付中症疾病保险金。</w:t>
      </w:r>
    </w:p>
    <w:p w14:paraId="72A980D3" w14:textId="77777777" w:rsidR="008F265F" w:rsidRPr="000037DF" w:rsidRDefault="00A542E4">
      <w:pPr>
        <w:spacing w:beforeLines="50" w:before="156"/>
        <w:ind w:firstLineChars="200" w:firstLine="420"/>
        <w:rPr>
          <w:rFonts w:ascii="宋体" w:hAnsi="宋体" w:cs="宋体"/>
          <w:kern w:val="0"/>
          <w:szCs w:val="21"/>
          <w:shd w:val="pct15" w:color="auto" w:fill="FFFFFF"/>
        </w:rPr>
      </w:pPr>
      <w:r w:rsidRPr="000037DF">
        <w:rPr>
          <w:rFonts w:ascii="宋体" w:hAnsi="宋体" w:cs="宋体" w:hint="eastAsia"/>
          <w:kern w:val="0"/>
          <w:szCs w:val="21"/>
          <w:shd w:val="pct15" w:color="auto" w:fill="FFFFFF"/>
        </w:rPr>
        <w:t>若被保险人因同次医疗行为、同一疾病或同次意外伤害导致其初次确诊发生本主险合同约定的两种或两种以上的中症疾病，我们仅按一种中症疾病给付中症疾病保险金。</w:t>
      </w:r>
    </w:p>
    <w:p w14:paraId="6BC01F60" w14:textId="77777777" w:rsidR="008F265F" w:rsidRPr="000037DF" w:rsidRDefault="00A542E4">
      <w:pPr>
        <w:spacing w:beforeLines="50" w:before="156"/>
        <w:ind w:firstLineChars="200" w:firstLine="420"/>
        <w:rPr>
          <w:rFonts w:ascii="宋体" w:hAnsi="宋体" w:cs="宋体"/>
          <w:kern w:val="0"/>
          <w:szCs w:val="21"/>
          <w:shd w:val="pct15" w:color="auto" w:fill="FFFFFF"/>
        </w:rPr>
      </w:pPr>
      <w:r w:rsidRPr="000037DF">
        <w:rPr>
          <w:rFonts w:ascii="宋体" w:hAnsi="宋体" w:cs="宋体" w:hint="eastAsia"/>
          <w:kern w:val="0"/>
          <w:szCs w:val="21"/>
          <w:shd w:val="pct15" w:color="auto" w:fill="FFFFFF"/>
        </w:rPr>
        <w:t>每种中症疾病只给付一次中症疾病保险金，给付后该种中症疾病保险金的保险责任终止。</w:t>
      </w:r>
    </w:p>
    <w:p w14:paraId="4480A87A" w14:textId="77777777" w:rsidR="008F265F" w:rsidRPr="000037DF" w:rsidRDefault="00A542E4">
      <w:pPr>
        <w:spacing w:beforeLines="50" w:before="156"/>
        <w:ind w:firstLineChars="200" w:firstLine="420"/>
        <w:rPr>
          <w:rFonts w:ascii="宋体" w:hAnsi="宋体" w:cs="宋体"/>
          <w:kern w:val="0"/>
          <w:szCs w:val="21"/>
          <w:shd w:val="pct15" w:color="auto" w:fill="FFFFFF"/>
        </w:rPr>
      </w:pPr>
      <w:r w:rsidRPr="000037DF">
        <w:rPr>
          <w:rFonts w:ascii="宋体" w:hAnsi="宋体" w:cs="宋体"/>
          <w:kern w:val="0"/>
          <w:szCs w:val="21"/>
          <w:shd w:val="pct15" w:color="auto" w:fill="FFFFFF"/>
        </w:rPr>
        <w:t>我们对中症疾病保险金的给付次数以两次为限，在</w:t>
      </w:r>
      <w:r w:rsidRPr="000037DF">
        <w:rPr>
          <w:rFonts w:ascii="宋体" w:hAnsi="宋体" w:cs="宋体" w:hint="eastAsia"/>
          <w:kern w:val="0"/>
          <w:szCs w:val="21"/>
          <w:shd w:val="pct15" w:color="auto" w:fill="FFFFFF"/>
        </w:rPr>
        <w:t>本主险合同</w:t>
      </w:r>
      <w:r w:rsidRPr="000037DF">
        <w:rPr>
          <w:rFonts w:ascii="宋体" w:hAnsi="宋体" w:cs="宋体"/>
          <w:kern w:val="0"/>
          <w:szCs w:val="21"/>
          <w:shd w:val="pct15" w:color="auto" w:fill="FFFFFF"/>
        </w:rPr>
        <w:t>有效期内，若中症疾病保险金的</w:t>
      </w:r>
      <w:r w:rsidRPr="000037DF">
        <w:rPr>
          <w:rFonts w:ascii="宋体" w:hAnsi="宋体" w:cs="宋体" w:hint="eastAsia"/>
          <w:kern w:val="0"/>
          <w:szCs w:val="21"/>
          <w:shd w:val="pct15" w:color="auto" w:fill="FFFFFF"/>
        </w:rPr>
        <w:t>累计</w:t>
      </w:r>
      <w:r w:rsidRPr="000037DF">
        <w:rPr>
          <w:rFonts w:ascii="宋体" w:hAnsi="宋体" w:cs="宋体"/>
          <w:kern w:val="0"/>
          <w:szCs w:val="21"/>
          <w:shd w:val="pct15" w:color="auto" w:fill="FFFFFF"/>
        </w:rPr>
        <w:t>给付次数达到两次，则本项保险责任终止。</w:t>
      </w:r>
    </w:p>
    <w:p w14:paraId="16CC1AE0" w14:textId="77777777" w:rsidR="008F265F" w:rsidRDefault="00A542E4">
      <w:pPr>
        <w:spacing w:beforeLines="50" w:before="156"/>
        <w:ind w:firstLineChars="200" w:firstLine="420"/>
        <w:rPr>
          <w:rFonts w:ascii="宋体" w:hAnsi="宋体" w:cs="宋体"/>
          <w:kern w:val="0"/>
          <w:szCs w:val="21"/>
        </w:rPr>
      </w:pPr>
      <w:r>
        <w:rPr>
          <w:rFonts w:ascii="宋体" w:hAnsi="宋体" w:cs="宋体"/>
          <w:kern w:val="0"/>
          <w:szCs w:val="21"/>
        </w:rPr>
        <w:t>我们提供保障的</w:t>
      </w:r>
      <w:r>
        <w:rPr>
          <w:rFonts w:ascii="宋体" w:hAnsi="宋体" w:cs="宋体" w:hint="eastAsia"/>
          <w:kern w:val="0"/>
          <w:szCs w:val="21"/>
        </w:rPr>
        <w:t>中症</w:t>
      </w:r>
      <w:r>
        <w:rPr>
          <w:rFonts w:ascii="宋体" w:hAnsi="宋体" w:cs="宋体"/>
          <w:kern w:val="0"/>
          <w:szCs w:val="21"/>
        </w:rPr>
        <w:t>疾病共有30种</w:t>
      </w:r>
      <w:r>
        <w:rPr>
          <w:rFonts w:ascii="宋体" w:hAnsi="宋体" w:cs="宋体" w:hint="eastAsia"/>
          <w:kern w:val="0"/>
          <w:szCs w:val="21"/>
        </w:rPr>
        <w:t>，</w:t>
      </w:r>
      <w:r>
        <w:rPr>
          <w:rFonts w:ascii="宋体" w:hAnsi="宋体" w:cs="宋体"/>
          <w:kern w:val="0"/>
          <w:szCs w:val="21"/>
        </w:rPr>
        <w:t>名称</w:t>
      </w:r>
      <w:r>
        <w:rPr>
          <w:rFonts w:ascii="宋体" w:hAnsi="宋体" w:cs="宋体" w:hint="eastAsia"/>
          <w:kern w:val="0"/>
          <w:szCs w:val="21"/>
        </w:rPr>
        <w:t>见</w:t>
      </w:r>
      <w:r>
        <w:rPr>
          <w:rFonts w:ascii="宋体" w:hAnsi="宋体" w:cs="宋体"/>
          <w:kern w:val="0"/>
          <w:szCs w:val="21"/>
        </w:rPr>
        <w:t>附表一</w:t>
      </w:r>
      <w:r>
        <w:rPr>
          <w:rFonts w:ascii="宋体" w:hAnsi="宋体" w:cs="宋体" w:hint="eastAsia"/>
          <w:kern w:val="0"/>
          <w:szCs w:val="21"/>
        </w:rPr>
        <w:t>，</w:t>
      </w:r>
      <w:r>
        <w:rPr>
          <w:rFonts w:ascii="宋体" w:hAnsi="宋体" w:cs="宋体"/>
          <w:kern w:val="0"/>
          <w:szCs w:val="21"/>
        </w:rPr>
        <w:t>具体释义见</w:t>
      </w:r>
      <w:r>
        <w:rPr>
          <w:rFonts w:ascii="宋体" w:hAnsi="宋体" w:cs="宋体" w:hint="eastAsia"/>
          <w:kern w:val="0"/>
          <w:szCs w:val="21"/>
        </w:rPr>
        <w:t>本主险合同“第三十条</w:t>
      </w:r>
      <w:r>
        <w:rPr>
          <w:rFonts w:ascii="宋体" w:hAnsi="宋体" w:cs="宋体"/>
          <w:kern w:val="0"/>
          <w:szCs w:val="21"/>
        </w:rPr>
        <w:t xml:space="preserve"> </w:t>
      </w:r>
      <w:r>
        <w:rPr>
          <w:rFonts w:ascii="宋体" w:hAnsi="宋体" w:cs="宋体" w:hint="eastAsia"/>
          <w:kern w:val="0"/>
          <w:szCs w:val="21"/>
        </w:rPr>
        <w:t>中症疾病的定义”。</w:t>
      </w:r>
    </w:p>
    <w:p w14:paraId="2F2FD2F3" w14:textId="77777777" w:rsidR="008F265F" w:rsidRDefault="00A542E4">
      <w:pPr>
        <w:spacing w:beforeLines="50" w:before="156"/>
        <w:ind w:firstLineChars="200" w:firstLine="420"/>
        <w:rPr>
          <w:rFonts w:ascii="宋体" w:hAnsi="宋体" w:cs="宋体"/>
          <w:kern w:val="0"/>
          <w:szCs w:val="21"/>
        </w:rPr>
      </w:pPr>
      <w:r>
        <w:rPr>
          <w:rFonts w:ascii="宋体" w:hAnsi="宋体" w:hint="eastAsia"/>
          <w:bCs/>
        </w:rPr>
        <w:t>（三）</w:t>
      </w:r>
      <w:r>
        <w:rPr>
          <w:rFonts w:ascii="宋体" w:hAnsi="宋体" w:cs="宋体" w:hint="eastAsia"/>
          <w:kern w:val="0"/>
          <w:szCs w:val="21"/>
        </w:rPr>
        <w:t>重大疾病保险金</w:t>
      </w:r>
    </w:p>
    <w:p w14:paraId="58BC8A5E" w14:textId="216EC603"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w:t>
      </w:r>
      <w:r>
        <w:rPr>
          <w:rFonts w:ascii="宋体" w:hAnsi="宋体" w:cs="宋体"/>
          <w:kern w:val="0"/>
          <w:szCs w:val="21"/>
        </w:rPr>
        <w:t>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本主险合同定义的</w:t>
      </w:r>
      <w:r>
        <w:rPr>
          <w:rFonts w:ascii="宋体" w:hAnsi="宋体" w:cs="宋体"/>
          <w:kern w:val="0"/>
          <w:szCs w:val="21"/>
        </w:rPr>
        <w:t>重大疾病（</w:t>
      </w:r>
      <w:r>
        <w:rPr>
          <w:rFonts w:ascii="宋体" w:hAnsi="宋体" w:cs="宋体" w:hint="eastAsia"/>
          <w:kern w:val="0"/>
          <w:szCs w:val="21"/>
        </w:rPr>
        <w:t>无论</w:t>
      </w:r>
      <w:r>
        <w:rPr>
          <w:rFonts w:ascii="宋体" w:hAnsi="宋体" w:cs="宋体"/>
          <w:kern w:val="0"/>
          <w:szCs w:val="21"/>
        </w:rPr>
        <w:t>一项或多项</w:t>
      </w:r>
      <w:r>
        <w:rPr>
          <w:rFonts w:ascii="宋体" w:hAnsi="宋体" w:cs="宋体" w:hint="eastAsia"/>
          <w:kern w:val="0"/>
          <w:szCs w:val="21"/>
        </w:rPr>
        <w:t>，按一项给付</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我们按本主险合同基本保险金额的</w:t>
      </w:r>
      <w:r>
        <w:rPr>
          <w:rFonts w:ascii="宋体" w:hAnsi="宋体" w:cs="宋体"/>
          <w:b/>
          <w:kern w:val="0"/>
          <w:szCs w:val="21"/>
        </w:rPr>
        <w:t>100%</w:t>
      </w:r>
      <w:r>
        <w:rPr>
          <w:rFonts w:ascii="宋体" w:hAnsi="宋体" w:cs="宋体"/>
          <w:kern w:val="0"/>
          <w:szCs w:val="21"/>
        </w:rPr>
        <w:t>给付重大疾病保险金</w:t>
      </w:r>
      <w:r>
        <w:rPr>
          <w:rFonts w:ascii="宋体" w:hAnsi="宋体" w:cs="宋体" w:hint="eastAsia"/>
          <w:kern w:val="0"/>
          <w:szCs w:val="21"/>
        </w:rPr>
        <w:t>，</w:t>
      </w:r>
      <w:r w:rsidRPr="000037DF">
        <w:rPr>
          <w:rFonts w:ascii="宋体" w:hAnsi="宋体" w:cs="宋体" w:hint="eastAsia"/>
          <w:kern w:val="0"/>
          <w:szCs w:val="21"/>
          <w:shd w:val="pct15" w:color="auto" w:fill="FFFFFF"/>
        </w:rPr>
        <w:t>本项保险责任终止</w:t>
      </w:r>
      <w:r>
        <w:rPr>
          <w:rFonts w:ascii="宋体" w:hAnsi="宋体" w:cs="宋体" w:hint="eastAsia"/>
          <w:kern w:val="0"/>
          <w:szCs w:val="21"/>
        </w:rPr>
        <w:t>。</w:t>
      </w:r>
    </w:p>
    <w:p w14:paraId="4B6D99E5" w14:textId="77777777" w:rsidR="008F265F" w:rsidRDefault="00A542E4">
      <w:pPr>
        <w:spacing w:beforeLines="50" w:before="156"/>
        <w:ind w:firstLineChars="200" w:firstLine="420"/>
        <w:rPr>
          <w:rFonts w:ascii="宋体" w:hAnsi="宋体" w:cs="宋体"/>
          <w:kern w:val="0"/>
          <w:szCs w:val="21"/>
        </w:rPr>
      </w:pPr>
      <w:r>
        <w:rPr>
          <w:rFonts w:ascii="宋体" w:hAnsi="宋体" w:cs="宋体"/>
          <w:kern w:val="0"/>
          <w:szCs w:val="21"/>
        </w:rPr>
        <w:t>我们提供保障的</w:t>
      </w:r>
      <w:r>
        <w:rPr>
          <w:rFonts w:ascii="宋体" w:hAnsi="宋体" w:cs="宋体" w:hint="eastAsia"/>
          <w:kern w:val="0"/>
          <w:szCs w:val="21"/>
        </w:rPr>
        <w:t>重大</w:t>
      </w:r>
      <w:r>
        <w:rPr>
          <w:rFonts w:ascii="宋体" w:hAnsi="宋体" w:cs="宋体"/>
          <w:kern w:val="0"/>
          <w:szCs w:val="21"/>
        </w:rPr>
        <w:t>疾病共有13</w:t>
      </w:r>
      <w:r>
        <w:rPr>
          <w:rFonts w:ascii="宋体" w:hAnsi="宋体" w:cs="宋体" w:hint="eastAsia"/>
          <w:kern w:val="0"/>
          <w:szCs w:val="21"/>
        </w:rPr>
        <w:t>7</w:t>
      </w:r>
      <w:r>
        <w:rPr>
          <w:rFonts w:ascii="宋体" w:hAnsi="宋体" w:cs="宋体"/>
          <w:kern w:val="0"/>
          <w:szCs w:val="21"/>
        </w:rPr>
        <w:t>种</w:t>
      </w:r>
      <w:r>
        <w:rPr>
          <w:rFonts w:ascii="宋体" w:hAnsi="宋体" w:cs="宋体" w:hint="eastAsia"/>
          <w:kern w:val="0"/>
          <w:szCs w:val="21"/>
        </w:rPr>
        <w:t>，</w:t>
      </w:r>
      <w:r>
        <w:rPr>
          <w:rFonts w:ascii="宋体" w:hAnsi="宋体" w:cs="宋体"/>
          <w:kern w:val="0"/>
          <w:szCs w:val="21"/>
        </w:rPr>
        <w:t>名称</w:t>
      </w:r>
      <w:r>
        <w:rPr>
          <w:rFonts w:ascii="宋体" w:hAnsi="宋体" w:cs="宋体" w:hint="eastAsia"/>
          <w:kern w:val="0"/>
          <w:szCs w:val="21"/>
        </w:rPr>
        <w:t>见</w:t>
      </w:r>
      <w:r>
        <w:rPr>
          <w:rFonts w:ascii="宋体" w:hAnsi="宋体" w:cs="宋体"/>
          <w:kern w:val="0"/>
          <w:szCs w:val="21"/>
        </w:rPr>
        <w:t>附表一</w:t>
      </w:r>
      <w:r>
        <w:rPr>
          <w:rFonts w:ascii="宋体" w:hAnsi="宋体" w:cs="宋体" w:hint="eastAsia"/>
          <w:kern w:val="0"/>
          <w:szCs w:val="21"/>
        </w:rPr>
        <w:t>，</w:t>
      </w:r>
      <w:r>
        <w:rPr>
          <w:rFonts w:ascii="宋体" w:hAnsi="宋体" w:cs="宋体"/>
          <w:kern w:val="0"/>
          <w:szCs w:val="21"/>
        </w:rPr>
        <w:t>具体释义见</w:t>
      </w:r>
      <w:r>
        <w:rPr>
          <w:rFonts w:ascii="宋体" w:hAnsi="宋体" w:cs="宋体" w:hint="eastAsia"/>
          <w:kern w:val="0"/>
          <w:szCs w:val="21"/>
        </w:rPr>
        <w:t>本主险合同“第三十一条</w:t>
      </w:r>
      <w:r>
        <w:rPr>
          <w:rFonts w:ascii="宋体" w:hAnsi="宋体" w:cs="宋体"/>
          <w:kern w:val="0"/>
          <w:szCs w:val="21"/>
        </w:rPr>
        <w:t xml:space="preserve"> 重大疾病的定义”</w:t>
      </w:r>
      <w:r>
        <w:rPr>
          <w:rFonts w:ascii="宋体" w:hAnsi="宋体" w:cs="宋体" w:hint="eastAsia"/>
          <w:kern w:val="0"/>
          <w:szCs w:val="21"/>
        </w:rPr>
        <w:t>。</w:t>
      </w:r>
    </w:p>
    <w:p w14:paraId="46B5C80C"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lastRenderedPageBreak/>
        <w:t>（四）少儿特定疾病关爱保险金</w:t>
      </w:r>
    </w:p>
    <w:p w14:paraId="46C856BD" w14:textId="31AF255A"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被保险人由我们认可的医院的专科医生初次确诊发生本主险合同定义的少儿特定疾病（无论一项或多项，按一项给付），且我们已针对该少儿特定疾病给付了重大疾病保险金、重大疾病多次给付保险金或“恶性肿瘤——重度”关爱保险金，我们按本主险合同基本保险金额的</w:t>
      </w:r>
      <w:r>
        <w:rPr>
          <w:rFonts w:ascii="宋体" w:hAnsi="宋体" w:cs="宋体"/>
          <w:b/>
          <w:kern w:val="0"/>
          <w:szCs w:val="21"/>
        </w:rPr>
        <w:t>120%</w:t>
      </w:r>
      <w:r>
        <w:rPr>
          <w:rFonts w:ascii="宋体" w:hAnsi="宋体" w:cs="宋体" w:hint="eastAsia"/>
          <w:kern w:val="0"/>
          <w:szCs w:val="21"/>
        </w:rPr>
        <w:t>给付少儿特定疾病关爱保险金，</w:t>
      </w:r>
      <w:r w:rsidRPr="000037DF">
        <w:rPr>
          <w:rFonts w:ascii="宋体" w:hAnsi="宋体" w:cs="宋体" w:hint="eastAsia"/>
          <w:kern w:val="0"/>
          <w:szCs w:val="21"/>
          <w:shd w:val="pct15" w:color="auto" w:fill="FFFFFF"/>
        </w:rPr>
        <w:t>本项保险责任终止</w:t>
      </w:r>
      <w:r>
        <w:rPr>
          <w:rFonts w:ascii="宋体" w:hAnsi="宋体" w:cs="宋体" w:hint="eastAsia"/>
          <w:kern w:val="0"/>
          <w:szCs w:val="21"/>
        </w:rPr>
        <w:t>。</w:t>
      </w:r>
    </w:p>
    <w:p w14:paraId="54D4D5B7" w14:textId="3F770AD8" w:rsidR="000C2816" w:rsidRPr="000037DF" w:rsidRDefault="000C2816" w:rsidP="000C2816">
      <w:pPr>
        <w:spacing w:beforeLines="50" w:before="156"/>
        <w:ind w:firstLineChars="200" w:firstLine="420"/>
        <w:rPr>
          <w:rFonts w:ascii="宋体" w:hAnsi="宋体" w:cs="宋体"/>
          <w:kern w:val="0"/>
          <w:szCs w:val="21"/>
          <w:shd w:val="pct15" w:color="auto" w:fill="FFFFFF"/>
        </w:rPr>
      </w:pPr>
      <w:r w:rsidRPr="000037DF">
        <w:rPr>
          <w:rFonts w:ascii="宋体" w:hAnsi="宋体" w:cs="宋体"/>
          <w:kern w:val="0"/>
          <w:szCs w:val="21"/>
          <w:shd w:val="pct15" w:color="auto" w:fill="FFFFFF"/>
        </w:rPr>
        <w:t>我们对</w:t>
      </w:r>
      <w:r w:rsidRPr="000037DF">
        <w:rPr>
          <w:rFonts w:ascii="宋体" w:hAnsi="宋体" w:cs="宋体" w:hint="eastAsia"/>
          <w:kern w:val="0"/>
          <w:szCs w:val="21"/>
          <w:shd w:val="pct15" w:color="auto" w:fill="FFFFFF"/>
        </w:rPr>
        <w:t>少儿特定疾病关爱保险金</w:t>
      </w:r>
      <w:r w:rsidRPr="000037DF">
        <w:rPr>
          <w:rFonts w:ascii="宋体" w:hAnsi="宋体" w:cs="宋体"/>
          <w:kern w:val="0"/>
          <w:szCs w:val="21"/>
          <w:shd w:val="pct15" w:color="auto" w:fill="FFFFFF"/>
        </w:rPr>
        <w:t>的给付次数以一次为限。</w:t>
      </w:r>
    </w:p>
    <w:p w14:paraId="3D3DC174" w14:textId="77777777" w:rsidR="008F265F" w:rsidRDefault="00A542E4">
      <w:pPr>
        <w:spacing w:beforeLines="50" w:before="156"/>
        <w:ind w:firstLineChars="200" w:firstLine="420"/>
        <w:rPr>
          <w:rFonts w:ascii="宋体" w:hAnsi="宋体"/>
          <w:bCs/>
        </w:rPr>
      </w:pPr>
      <w:r>
        <w:rPr>
          <w:rFonts w:ascii="宋体" w:hAnsi="宋体" w:cs="宋体"/>
          <w:kern w:val="0"/>
          <w:szCs w:val="21"/>
        </w:rPr>
        <w:t>我们提供保障的</w:t>
      </w:r>
      <w:r>
        <w:rPr>
          <w:rFonts w:ascii="宋体" w:hAnsi="宋体" w:cs="宋体" w:hint="eastAsia"/>
          <w:kern w:val="0"/>
          <w:szCs w:val="21"/>
        </w:rPr>
        <w:t>少儿特定疾病</w:t>
      </w:r>
      <w:r>
        <w:rPr>
          <w:rFonts w:ascii="宋体" w:hAnsi="宋体" w:cs="宋体"/>
          <w:kern w:val="0"/>
          <w:szCs w:val="21"/>
        </w:rPr>
        <w:t>共有20种</w:t>
      </w:r>
      <w:r>
        <w:rPr>
          <w:rFonts w:ascii="宋体" w:hAnsi="宋体" w:cs="宋体" w:hint="eastAsia"/>
          <w:kern w:val="0"/>
          <w:szCs w:val="21"/>
        </w:rPr>
        <w:t>，</w:t>
      </w:r>
      <w:r>
        <w:rPr>
          <w:rFonts w:ascii="宋体" w:hAnsi="宋体" w:cs="宋体"/>
          <w:kern w:val="0"/>
          <w:szCs w:val="21"/>
        </w:rPr>
        <w:t>名称</w:t>
      </w:r>
      <w:r>
        <w:rPr>
          <w:rFonts w:ascii="宋体" w:hAnsi="宋体" w:cs="宋体" w:hint="eastAsia"/>
          <w:kern w:val="0"/>
          <w:szCs w:val="21"/>
        </w:rPr>
        <w:t>见</w:t>
      </w:r>
      <w:r>
        <w:rPr>
          <w:rFonts w:ascii="宋体" w:hAnsi="宋体" w:cs="宋体"/>
          <w:kern w:val="0"/>
          <w:szCs w:val="21"/>
        </w:rPr>
        <w:t>附表一</w:t>
      </w:r>
      <w:r>
        <w:rPr>
          <w:rFonts w:ascii="宋体" w:hAnsi="宋体" w:cs="宋体" w:hint="eastAsia"/>
          <w:kern w:val="0"/>
          <w:szCs w:val="21"/>
        </w:rPr>
        <w:t>，</w:t>
      </w:r>
      <w:r>
        <w:rPr>
          <w:rFonts w:ascii="宋体" w:hAnsi="宋体" w:cs="宋体"/>
          <w:kern w:val="0"/>
          <w:szCs w:val="21"/>
        </w:rPr>
        <w:t>具体释义见</w:t>
      </w:r>
      <w:r>
        <w:rPr>
          <w:rFonts w:ascii="宋体" w:hAnsi="宋体" w:cs="宋体" w:hint="eastAsia"/>
          <w:kern w:val="0"/>
          <w:szCs w:val="21"/>
        </w:rPr>
        <w:t>本主险合同“第三十二条</w:t>
      </w:r>
      <w:r>
        <w:rPr>
          <w:rFonts w:ascii="宋体" w:hAnsi="宋体" w:cs="宋体"/>
          <w:kern w:val="0"/>
          <w:szCs w:val="21"/>
        </w:rPr>
        <w:t xml:space="preserve"> 少儿特定疾病的定义”</w:t>
      </w:r>
      <w:r>
        <w:rPr>
          <w:rFonts w:ascii="宋体" w:hAnsi="宋体" w:cs="宋体" w:hint="eastAsia"/>
          <w:kern w:val="0"/>
          <w:szCs w:val="21"/>
        </w:rPr>
        <w:t>。</w:t>
      </w:r>
    </w:p>
    <w:p w14:paraId="053351B7"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（五）少儿罕见疾病关爱保险金</w:t>
      </w:r>
    </w:p>
    <w:p w14:paraId="1CD29367" w14:textId="2738B361"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被保险人由我们认可的医院的专科医生初次确诊发生本主险合同定义的少儿罕见疾病（无论一项或多项，按一项给付），且我们已针对该少儿罕见疾病给付了重大疾病保险金或重大疾病多次给付保险金，我们按本主险合同基本保险金额的</w:t>
      </w:r>
      <w:r>
        <w:rPr>
          <w:rFonts w:ascii="宋体" w:hAnsi="宋体" w:cs="宋体"/>
          <w:b/>
          <w:kern w:val="0"/>
          <w:szCs w:val="21"/>
        </w:rPr>
        <w:t>200%</w:t>
      </w:r>
      <w:r>
        <w:rPr>
          <w:rFonts w:ascii="宋体" w:hAnsi="宋体" w:cs="宋体" w:hint="eastAsia"/>
          <w:kern w:val="0"/>
          <w:szCs w:val="21"/>
        </w:rPr>
        <w:t>给付少儿罕见疾病关爱保险金，</w:t>
      </w:r>
      <w:r w:rsidRPr="000037DF">
        <w:rPr>
          <w:rFonts w:ascii="宋体" w:hAnsi="宋体" w:cs="宋体" w:hint="eastAsia"/>
          <w:kern w:val="0"/>
          <w:szCs w:val="21"/>
          <w:shd w:val="pct15" w:color="auto" w:fill="FFFFFF"/>
        </w:rPr>
        <w:t>本项保险责任终止</w:t>
      </w:r>
      <w:r>
        <w:rPr>
          <w:rFonts w:ascii="宋体" w:hAnsi="宋体" w:cs="宋体" w:hint="eastAsia"/>
          <w:kern w:val="0"/>
          <w:szCs w:val="21"/>
        </w:rPr>
        <w:t>。</w:t>
      </w:r>
    </w:p>
    <w:p w14:paraId="1FEB27F6" w14:textId="0C7FCCED" w:rsidR="00805F94" w:rsidRPr="000037DF" w:rsidRDefault="00805F94" w:rsidP="00805F94">
      <w:pPr>
        <w:spacing w:beforeLines="50" w:before="156"/>
        <w:ind w:firstLineChars="200" w:firstLine="420"/>
        <w:rPr>
          <w:rFonts w:ascii="宋体" w:hAnsi="宋体" w:cs="宋体"/>
          <w:kern w:val="0"/>
          <w:szCs w:val="21"/>
          <w:shd w:val="pct15" w:color="auto" w:fill="FFFFFF"/>
        </w:rPr>
      </w:pPr>
      <w:r w:rsidRPr="000037DF">
        <w:rPr>
          <w:rFonts w:ascii="宋体" w:hAnsi="宋体" w:cs="宋体"/>
          <w:kern w:val="0"/>
          <w:szCs w:val="21"/>
          <w:shd w:val="pct15" w:color="auto" w:fill="FFFFFF"/>
        </w:rPr>
        <w:t>我们对</w:t>
      </w:r>
      <w:r w:rsidRPr="000037DF">
        <w:rPr>
          <w:rFonts w:ascii="宋体" w:hAnsi="宋体" w:cs="宋体" w:hint="eastAsia"/>
          <w:kern w:val="0"/>
          <w:szCs w:val="21"/>
          <w:shd w:val="pct15" w:color="auto" w:fill="FFFFFF"/>
        </w:rPr>
        <w:t>少儿罕见疾病关爱保险金</w:t>
      </w:r>
      <w:r w:rsidRPr="000037DF">
        <w:rPr>
          <w:rFonts w:ascii="宋体" w:hAnsi="宋体" w:cs="宋体"/>
          <w:kern w:val="0"/>
          <w:szCs w:val="21"/>
          <w:shd w:val="pct15" w:color="auto" w:fill="FFFFFF"/>
        </w:rPr>
        <w:t>的给付次数以一次为限。</w:t>
      </w:r>
    </w:p>
    <w:p w14:paraId="68A8ACD5" w14:textId="77777777" w:rsidR="008F265F" w:rsidRDefault="00A542E4">
      <w:pPr>
        <w:spacing w:beforeLines="50" w:before="156"/>
        <w:ind w:firstLineChars="200" w:firstLine="420"/>
        <w:rPr>
          <w:rFonts w:ascii="宋体" w:hAnsi="宋体"/>
          <w:bCs/>
        </w:rPr>
      </w:pPr>
      <w:r>
        <w:rPr>
          <w:rFonts w:ascii="宋体" w:hAnsi="宋体" w:cs="宋体"/>
          <w:kern w:val="0"/>
          <w:szCs w:val="21"/>
        </w:rPr>
        <w:t>我们提供保障的</w:t>
      </w:r>
      <w:r>
        <w:rPr>
          <w:rFonts w:ascii="宋体" w:hAnsi="宋体" w:cs="宋体" w:hint="eastAsia"/>
          <w:kern w:val="0"/>
          <w:szCs w:val="21"/>
        </w:rPr>
        <w:t>少儿罕见疾病</w:t>
      </w:r>
      <w:r>
        <w:rPr>
          <w:rFonts w:ascii="宋体" w:hAnsi="宋体" w:cs="宋体"/>
          <w:kern w:val="0"/>
          <w:szCs w:val="21"/>
        </w:rPr>
        <w:t>共有20种</w:t>
      </w:r>
      <w:r>
        <w:rPr>
          <w:rFonts w:ascii="宋体" w:hAnsi="宋体" w:cs="宋体" w:hint="eastAsia"/>
          <w:kern w:val="0"/>
          <w:szCs w:val="21"/>
        </w:rPr>
        <w:t>，</w:t>
      </w:r>
      <w:r>
        <w:rPr>
          <w:rFonts w:ascii="宋体" w:hAnsi="宋体" w:cs="宋体"/>
          <w:kern w:val="0"/>
          <w:szCs w:val="21"/>
        </w:rPr>
        <w:t>名称</w:t>
      </w:r>
      <w:r>
        <w:rPr>
          <w:rFonts w:ascii="宋体" w:hAnsi="宋体" w:cs="宋体" w:hint="eastAsia"/>
          <w:kern w:val="0"/>
          <w:szCs w:val="21"/>
        </w:rPr>
        <w:t>见</w:t>
      </w:r>
      <w:r>
        <w:rPr>
          <w:rFonts w:ascii="宋体" w:hAnsi="宋体" w:cs="宋体"/>
          <w:kern w:val="0"/>
          <w:szCs w:val="21"/>
        </w:rPr>
        <w:t>附表一</w:t>
      </w:r>
      <w:r>
        <w:rPr>
          <w:rFonts w:ascii="宋体" w:hAnsi="宋体" w:cs="宋体" w:hint="eastAsia"/>
          <w:kern w:val="0"/>
          <w:szCs w:val="21"/>
        </w:rPr>
        <w:t>，</w:t>
      </w:r>
      <w:r>
        <w:rPr>
          <w:rFonts w:ascii="宋体" w:hAnsi="宋体" w:cs="宋体"/>
          <w:kern w:val="0"/>
          <w:szCs w:val="21"/>
        </w:rPr>
        <w:t>具体释义见</w:t>
      </w:r>
      <w:r>
        <w:rPr>
          <w:rFonts w:ascii="宋体" w:hAnsi="宋体" w:cs="宋体" w:hint="eastAsia"/>
          <w:kern w:val="0"/>
          <w:szCs w:val="21"/>
        </w:rPr>
        <w:t>本主险合同“第三十三条</w:t>
      </w:r>
      <w:r>
        <w:rPr>
          <w:rFonts w:ascii="宋体" w:hAnsi="宋体" w:cs="宋体"/>
          <w:kern w:val="0"/>
          <w:szCs w:val="21"/>
        </w:rPr>
        <w:t xml:space="preserve"> 少儿</w:t>
      </w:r>
      <w:r>
        <w:rPr>
          <w:rFonts w:ascii="宋体" w:hAnsi="宋体" w:cs="宋体" w:hint="eastAsia"/>
          <w:kern w:val="0"/>
          <w:szCs w:val="21"/>
        </w:rPr>
        <w:t>罕见</w:t>
      </w:r>
      <w:r>
        <w:rPr>
          <w:rFonts w:ascii="宋体" w:hAnsi="宋体" w:cs="宋体"/>
          <w:kern w:val="0"/>
          <w:szCs w:val="21"/>
        </w:rPr>
        <w:t>疾病的定义”</w:t>
      </w:r>
      <w:r>
        <w:rPr>
          <w:rFonts w:ascii="宋体" w:hAnsi="宋体" w:cs="宋体" w:hint="eastAsia"/>
          <w:kern w:val="0"/>
          <w:szCs w:val="21"/>
        </w:rPr>
        <w:t>。</w:t>
      </w:r>
    </w:p>
    <w:p w14:paraId="29FB55D3" w14:textId="77777777" w:rsidR="008F265F" w:rsidRDefault="00A542E4">
      <w:pPr>
        <w:spacing w:beforeLines="50" w:before="156"/>
        <w:ind w:firstLineChars="200" w:firstLine="420"/>
        <w:rPr>
          <w:rFonts w:ascii="宋体" w:hAnsi="宋体" w:cs="宋体"/>
          <w:kern w:val="0"/>
          <w:szCs w:val="21"/>
        </w:rPr>
      </w:pPr>
      <w:r>
        <w:rPr>
          <w:rFonts w:ascii="宋体" w:hAnsi="宋体" w:hint="eastAsia"/>
          <w:bCs/>
        </w:rPr>
        <w:t>（六）</w:t>
      </w:r>
      <w:r>
        <w:rPr>
          <w:rFonts w:ascii="宋体" w:hAnsi="宋体" w:cs="宋体"/>
          <w:kern w:val="0"/>
          <w:szCs w:val="21"/>
        </w:rPr>
        <w:t>身故或全残保险金</w:t>
      </w:r>
    </w:p>
    <w:p w14:paraId="2A184F74" w14:textId="77777777" w:rsidR="008F265F" w:rsidRDefault="00A542E4">
      <w:pPr>
        <w:spacing w:beforeLines="50" w:before="156"/>
        <w:ind w:firstLineChars="200" w:firstLine="420"/>
        <w:rPr>
          <w:rFonts w:ascii="宋体" w:hAnsi="宋体" w:cs="宋体"/>
          <w:kern w:val="0"/>
          <w:szCs w:val="21"/>
        </w:rPr>
      </w:pPr>
      <w:r>
        <w:rPr>
          <w:rFonts w:ascii="宋体" w:hAnsi="宋体" w:cs="宋体"/>
          <w:kern w:val="0"/>
          <w:szCs w:val="21"/>
        </w:rPr>
        <w:t>本主险合同的身故或全残保险金的</w:t>
      </w:r>
      <w:r>
        <w:rPr>
          <w:rFonts w:ascii="宋体" w:hAnsi="宋体" w:cs="宋体" w:hint="eastAsia"/>
          <w:kern w:val="0"/>
          <w:szCs w:val="21"/>
        </w:rPr>
        <w:t>给付方式有以下两种方案，由您在投</w:t>
      </w:r>
      <w:r>
        <w:rPr>
          <w:rFonts w:ascii="宋体" w:hAnsi="宋体" w:cs="宋体" w:hint="eastAsia"/>
          <w:kern w:val="0"/>
          <w:szCs w:val="21"/>
        </w:rPr>
        <w:lastRenderedPageBreak/>
        <w:t>保时与我们约定，并载明于保险单上：</w:t>
      </w:r>
    </w:p>
    <w:p w14:paraId="01ACD9C7"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方案一：若被保险人身故或全残，我们将按本主险合同实际已交纳的保险费的</w:t>
      </w:r>
      <w:r>
        <w:rPr>
          <w:rFonts w:ascii="宋体" w:hAnsi="宋体" w:cs="宋体"/>
          <w:b/>
          <w:kern w:val="0"/>
          <w:szCs w:val="21"/>
        </w:rPr>
        <w:t>100%</w:t>
      </w:r>
      <w:r>
        <w:rPr>
          <w:rFonts w:ascii="宋体" w:hAnsi="宋体" w:cs="宋体" w:hint="eastAsia"/>
          <w:kern w:val="0"/>
          <w:szCs w:val="21"/>
        </w:rPr>
        <w:t>给付身故或全残保险金，本主险合同终止。</w:t>
      </w:r>
    </w:p>
    <w:p w14:paraId="5F2B6974"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方案二：若</w:t>
      </w:r>
      <w:r>
        <w:rPr>
          <w:rFonts w:ascii="宋体" w:hAnsi="宋体" w:cs="宋体"/>
          <w:kern w:val="0"/>
          <w:szCs w:val="21"/>
        </w:rPr>
        <w:t>被保险人</w:t>
      </w:r>
      <w:r>
        <w:rPr>
          <w:rFonts w:ascii="宋体" w:hAnsi="宋体" w:cs="宋体" w:hint="eastAsia"/>
          <w:kern w:val="0"/>
          <w:szCs w:val="21"/>
        </w:rPr>
        <w:t>于</w:t>
      </w:r>
      <w:r>
        <w:rPr>
          <w:rFonts w:ascii="宋体" w:hAnsi="宋体" w:cs="宋体"/>
          <w:kern w:val="0"/>
          <w:szCs w:val="21"/>
        </w:rPr>
        <w:t>年满</w:t>
      </w:r>
      <w:r>
        <w:rPr>
          <w:rFonts w:ascii="宋体" w:hAnsi="宋体" w:cs="宋体" w:hint="eastAsia"/>
          <w:kern w:val="0"/>
          <w:szCs w:val="21"/>
        </w:rPr>
        <w:t>十八</w:t>
      </w:r>
      <w:r>
        <w:rPr>
          <w:rFonts w:ascii="宋体" w:hAnsi="宋体" w:cs="宋体" w:hint="eastAsia"/>
          <w:b/>
          <w:kern w:val="0"/>
          <w:szCs w:val="21"/>
        </w:rPr>
        <w:t>周岁</w:t>
      </w:r>
      <w:r>
        <w:rPr>
          <w:rStyle w:val="af3"/>
          <w:rFonts w:ascii="宋体" w:hAnsi="宋体" w:cs="宋体"/>
          <w:b/>
          <w:kern w:val="0"/>
          <w:szCs w:val="21"/>
        </w:rPr>
        <w:footnoteReference w:id="8"/>
      </w:r>
      <w:r>
        <w:rPr>
          <w:rFonts w:ascii="宋体" w:hAnsi="宋体" w:cs="宋体" w:hint="eastAsia"/>
          <w:kern w:val="0"/>
          <w:szCs w:val="21"/>
        </w:rPr>
        <w:t>之前（不含十八周岁生日当日）</w:t>
      </w:r>
      <w:r>
        <w:rPr>
          <w:rFonts w:ascii="宋体" w:hAnsi="宋体" w:cs="宋体"/>
          <w:kern w:val="0"/>
          <w:szCs w:val="21"/>
        </w:rPr>
        <w:t>身故或全残，我们将按本主险合同实际已</w:t>
      </w:r>
      <w:r>
        <w:rPr>
          <w:rFonts w:ascii="宋体" w:hAnsi="宋体" w:cs="宋体" w:hint="eastAsia"/>
          <w:kern w:val="0"/>
          <w:szCs w:val="21"/>
        </w:rPr>
        <w:t>交纳</w:t>
      </w:r>
      <w:r>
        <w:rPr>
          <w:rFonts w:ascii="宋体" w:hAnsi="宋体" w:cs="宋体"/>
          <w:kern w:val="0"/>
          <w:szCs w:val="21"/>
        </w:rPr>
        <w:t>的保险费的</w:t>
      </w:r>
      <w:r>
        <w:rPr>
          <w:rFonts w:ascii="宋体" w:hAnsi="宋体" w:cs="宋体"/>
          <w:b/>
          <w:kern w:val="0"/>
          <w:szCs w:val="21"/>
        </w:rPr>
        <w:t>100%</w:t>
      </w:r>
      <w:r>
        <w:rPr>
          <w:rFonts w:ascii="宋体" w:hAnsi="宋体" w:cs="宋体"/>
          <w:kern w:val="0"/>
          <w:szCs w:val="21"/>
        </w:rPr>
        <w:t>给付</w:t>
      </w:r>
      <w:r>
        <w:rPr>
          <w:rFonts w:ascii="宋体" w:hAnsi="宋体" w:cs="宋体" w:hint="eastAsia"/>
          <w:kern w:val="0"/>
          <w:szCs w:val="21"/>
        </w:rPr>
        <w:t>身故或全残</w:t>
      </w:r>
      <w:r>
        <w:rPr>
          <w:rFonts w:ascii="宋体" w:hAnsi="宋体" w:cs="宋体"/>
          <w:kern w:val="0"/>
          <w:szCs w:val="21"/>
        </w:rPr>
        <w:t>保险金</w:t>
      </w:r>
      <w:r>
        <w:rPr>
          <w:rFonts w:ascii="宋体" w:hAnsi="宋体" w:cs="宋体" w:hint="eastAsia"/>
          <w:kern w:val="0"/>
          <w:szCs w:val="21"/>
        </w:rPr>
        <w:t>，</w:t>
      </w:r>
      <w:r>
        <w:rPr>
          <w:rFonts w:ascii="宋体" w:hAnsi="宋体" w:cs="宋体"/>
          <w:kern w:val="0"/>
          <w:szCs w:val="21"/>
        </w:rPr>
        <w:t>本主险合同终止</w:t>
      </w:r>
      <w:r>
        <w:rPr>
          <w:rFonts w:ascii="宋体" w:hAnsi="宋体" w:cs="宋体" w:hint="eastAsia"/>
          <w:kern w:val="0"/>
          <w:szCs w:val="21"/>
        </w:rPr>
        <w:t>；</w:t>
      </w:r>
      <w:r>
        <w:rPr>
          <w:rFonts w:ascii="宋体" w:hAnsi="宋体" w:cs="宋体"/>
          <w:kern w:val="0"/>
          <w:szCs w:val="21"/>
        </w:rPr>
        <w:t>若被保险人于年满十八周岁之后身故或全残，我们将按本主险合同基本保险</w:t>
      </w:r>
      <w:r>
        <w:rPr>
          <w:rFonts w:ascii="宋体" w:hAnsi="宋体" w:cs="宋体" w:hint="eastAsia"/>
          <w:kern w:val="0"/>
          <w:szCs w:val="21"/>
        </w:rPr>
        <w:t>金额的</w:t>
      </w:r>
      <w:r>
        <w:rPr>
          <w:rFonts w:ascii="宋体" w:hAnsi="宋体" w:cs="宋体"/>
          <w:b/>
          <w:kern w:val="0"/>
          <w:szCs w:val="21"/>
        </w:rPr>
        <w:t>100%</w:t>
      </w:r>
      <w:r>
        <w:rPr>
          <w:rFonts w:ascii="宋体" w:hAnsi="宋体" w:cs="宋体"/>
          <w:kern w:val="0"/>
          <w:szCs w:val="21"/>
        </w:rPr>
        <w:t>给付身故或全残保险金，本主险合同终止。</w:t>
      </w:r>
    </w:p>
    <w:p w14:paraId="10C66C20"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（七）豁免保险费</w:t>
      </w:r>
    </w:p>
    <w:p w14:paraId="272EC97D" w14:textId="77777777" w:rsidR="008F265F" w:rsidRDefault="00A542E4">
      <w:pPr>
        <w:spacing w:beforeLines="50" w:before="156"/>
        <w:ind w:firstLineChars="200" w:firstLine="420"/>
        <w:rPr>
          <w:rFonts w:ascii="宋体" w:hAnsi="宋体"/>
        </w:rPr>
      </w:pPr>
      <w:r>
        <w:rPr>
          <w:rFonts w:ascii="宋体" w:hAnsi="宋体" w:cs="宋体" w:hint="eastAsia"/>
          <w:kern w:val="0"/>
          <w:szCs w:val="21"/>
        </w:rPr>
        <w:t>若被保险人由我们认可的医院的专科医生初次确诊发生本主险合同定义的轻症疾病、中症疾病或重大疾病，自</w:t>
      </w:r>
      <w:r>
        <w:rPr>
          <w:rFonts w:ascii="宋体" w:hAnsi="宋体" w:cs="宋体" w:hint="eastAsia"/>
          <w:b/>
          <w:kern w:val="0"/>
          <w:szCs w:val="21"/>
        </w:rPr>
        <w:t>确诊日</w:t>
      </w:r>
      <w:r>
        <w:rPr>
          <w:rStyle w:val="af3"/>
          <w:rFonts w:ascii="宋体" w:hAnsi="宋体" w:cs="宋体"/>
          <w:b/>
          <w:kern w:val="0"/>
          <w:szCs w:val="21"/>
        </w:rPr>
        <w:footnoteReference w:id="9"/>
      </w:r>
      <w:r>
        <w:rPr>
          <w:rFonts w:ascii="宋体" w:hAnsi="宋体" w:cs="宋体" w:hint="eastAsia"/>
          <w:kern w:val="0"/>
          <w:szCs w:val="21"/>
        </w:rPr>
        <w:t>起，我们每年于保险费支付日豁免</w:t>
      </w:r>
      <w:r>
        <w:rPr>
          <w:rFonts w:ascii="宋体" w:hAnsi="宋体" w:hint="eastAsia"/>
        </w:rPr>
        <w:t>本主险合同当期应支付的保险费，被豁免的保险费视为已交纳，本主险合同继续有效。</w:t>
      </w:r>
    </w:p>
    <w:p w14:paraId="68DD114B" w14:textId="77777777" w:rsidR="008F265F" w:rsidRDefault="00A542E4">
      <w:pPr>
        <w:spacing w:beforeLines="50" w:before="156"/>
        <w:ind w:firstLineChars="200" w:firstLine="420"/>
        <w:rPr>
          <w:rFonts w:ascii="宋体" w:hAnsi="宋体"/>
        </w:rPr>
      </w:pPr>
      <w:r>
        <w:rPr>
          <w:rFonts w:ascii="宋体" w:hAnsi="宋体" w:hint="eastAsia"/>
        </w:rPr>
        <w:t>二、可选部分</w:t>
      </w:r>
    </w:p>
    <w:p w14:paraId="03ED5A0B" w14:textId="77777777" w:rsidR="008F265F" w:rsidRDefault="00A542E4">
      <w:pPr>
        <w:spacing w:beforeLines="50" w:before="156"/>
        <w:ind w:firstLineChars="200" w:firstLine="420"/>
        <w:rPr>
          <w:rFonts w:ascii="宋体" w:hAnsi="宋体" w:cs="宋体"/>
          <w:kern w:val="0"/>
          <w:szCs w:val="21"/>
        </w:rPr>
      </w:pPr>
      <w:r>
        <w:rPr>
          <w:rFonts w:ascii="宋体" w:hAnsi="宋体" w:hint="eastAsia"/>
        </w:rPr>
        <w:t>（一）</w:t>
      </w:r>
      <w:r>
        <w:rPr>
          <w:rFonts w:ascii="宋体" w:hAnsi="宋体" w:cs="宋体" w:hint="eastAsia"/>
          <w:kern w:val="0"/>
          <w:szCs w:val="21"/>
        </w:rPr>
        <w:t>疾病关爱保险金</w:t>
      </w:r>
    </w:p>
    <w:p w14:paraId="43A40BC6"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lastRenderedPageBreak/>
        <w:t>本主险合同的疾病关爱保险金责任由轻症疾病关爱保险金、中症疾病关爱保险金及重大疾病关爱保险金组成。</w:t>
      </w:r>
    </w:p>
    <w:p w14:paraId="0764721E" w14:textId="77777777" w:rsidR="008F265F" w:rsidRDefault="00A542E4">
      <w:pPr>
        <w:spacing w:beforeLines="50" w:before="156"/>
        <w:ind w:left="420"/>
        <w:rPr>
          <w:rFonts w:ascii="宋体" w:hAnsi="宋体" w:cs="宋体"/>
          <w:kern w:val="0"/>
          <w:szCs w:val="21"/>
        </w:rPr>
      </w:pPr>
      <w:r>
        <w:rPr>
          <w:rFonts w:ascii="宋体" w:hAnsi="宋体" w:cs="宋体"/>
          <w:kern w:val="0"/>
          <w:szCs w:val="21"/>
        </w:rPr>
        <w:t>1.</w:t>
      </w:r>
      <w:r>
        <w:rPr>
          <w:rFonts w:ascii="宋体" w:hAnsi="宋体" w:cs="宋体" w:hint="eastAsia"/>
          <w:kern w:val="0"/>
          <w:szCs w:val="21"/>
        </w:rPr>
        <w:t>轻症疾病关爱保险金</w:t>
      </w:r>
    </w:p>
    <w:p w14:paraId="337A8B71" w14:textId="33F52AA8"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若被保险人由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本主险合同定义的轻症</w:t>
      </w:r>
      <w:r>
        <w:rPr>
          <w:rFonts w:ascii="宋体" w:hAnsi="宋体" w:cs="宋体"/>
          <w:kern w:val="0"/>
          <w:szCs w:val="21"/>
        </w:rPr>
        <w:t>疾病（</w:t>
      </w:r>
      <w:r>
        <w:rPr>
          <w:rFonts w:ascii="宋体" w:hAnsi="宋体" w:cs="宋体" w:hint="eastAsia"/>
          <w:kern w:val="0"/>
          <w:szCs w:val="21"/>
        </w:rPr>
        <w:t>无论</w:t>
      </w:r>
      <w:r>
        <w:rPr>
          <w:rFonts w:ascii="宋体" w:hAnsi="宋体" w:cs="宋体"/>
          <w:kern w:val="0"/>
          <w:szCs w:val="21"/>
        </w:rPr>
        <w:t>一项或多项</w:t>
      </w:r>
      <w:r>
        <w:rPr>
          <w:rFonts w:ascii="宋体" w:hAnsi="宋体" w:cs="宋体" w:hint="eastAsia"/>
          <w:kern w:val="0"/>
          <w:szCs w:val="21"/>
        </w:rPr>
        <w:t>，按一项给付</w:t>
      </w:r>
      <w:r>
        <w:rPr>
          <w:rFonts w:ascii="宋体" w:hAnsi="宋体" w:cs="宋体"/>
          <w:kern w:val="0"/>
          <w:szCs w:val="21"/>
        </w:rPr>
        <w:t>）</w:t>
      </w:r>
      <w:r>
        <w:rPr>
          <w:rFonts w:ascii="宋体" w:hAnsi="宋体" w:cs="宋体" w:hint="eastAsia"/>
          <w:kern w:val="0"/>
          <w:szCs w:val="21"/>
        </w:rPr>
        <w:t>，</w:t>
      </w:r>
      <w:r w:rsidRPr="000037DF">
        <w:rPr>
          <w:rFonts w:ascii="宋体" w:hAnsi="宋体" w:cs="宋体" w:hint="eastAsia"/>
          <w:kern w:val="0"/>
          <w:szCs w:val="21"/>
          <w:shd w:val="pct15" w:color="auto" w:fill="FFFFFF"/>
        </w:rPr>
        <w:t>确诊时被保险人</w:t>
      </w:r>
      <w:r w:rsidR="00805F94" w:rsidRPr="000037DF">
        <w:rPr>
          <w:rFonts w:ascii="宋体" w:hAnsi="宋体" w:cs="宋体" w:hint="eastAsia"/>
          <w:b/>
          <w:kern w:val="0"/>
          <w:szCs w:val="21"/>
          <w:shd w:val="pct15" w:color="auto" w:fill="FFFFFF"/>
        </w:rPr>
        <w:t>到达年龄</w:t>
      </w:r>
      <w:r w:rsidR="00805F94" w:rsidRPr="000037DF">
        <w:rPr>
          <w:rStyle w:val="af3"/>
          <w:rFonts w:ascii="宋体" w:hAnsi="宋体" w:cs="宋体"/>
          <w:b/>
          <w:kern w:val="0"/>
          <w:szCs w:val="21"/>
          <w:shd w:val="pct15" w:color="auto" w:fill="FFFFFF"/>
        </w:rPr>
        <w:footnoteReference w:id="10"/>
      </w:r>
      <w:r w:rsidRPr="000037DF">
        <w:rPr>
          <w:rFonts w:ascii="宋体" w:hAnsi="宋体" w:cs="宋体" w:hint="eastAsia"/>
          <w:kern w:val="0"/>
          <w:szCs w:val="21"/>
          <w:shd w:val="pct15" w:color="auto" w:fill="FFFFFF"/>
        </w:rPr>
        <w:t>小于六十</w:t>
      </w:r>
      <w:r w:rsidRPr="000037DF">
        <w:rPr>
          <w:rFonts w:ascii="宋体" w:hAnsi="宋体" w:cs="宋体"/>
          <w:kern w:val="0"/>
          <w:szCs w:val="21"/>
          <w:shd w:val="pct15" w:color="auto" w:fill="FFFFFF"/>
        </w:rPr>
        <w:t>岁</w:t>
      </w:r>
      <w:r w:rsidRPr="000037DF">
        <w:rPr>
          <w:rFonts w:ascii="宋体" w:hAnsi="宋体" w:cs="宋体" w:hint="eastAsia"/>
          <w:kern w:val="0"/>
          <w:szCs w:val="21"/>
          <w:shd w:val="pct15" w:color="auto" w:fill="FFFFFF"/>
        </w:rPr>
        <w:t>（不含）</w:t>
      </w:r>
      <w:r>
        <w:rPr>
          <w:rFonts w:ascii="宋体" w:hAnsi="宋体" w:cs="宋体" w:hint="eastAsia"/>
          <w:kern w:val="0"/>
          <w:szCs w:val="21"/>
        </w:rPr>
        <w:t>，</w:t>
      </w:r>
      <w:r>
        <w:rPr>
          <w:rFonts w:ascii="宋体" w:hAnsi="宋体" w:cs="宋体"/>
          <w:kern w:val="0"/>
          <w:szCs w:val="21"/>
        </w:rPr>
        <w:t>我们按本</w:t>
      </w:r>
      <w:r>
        <w:rPr>
          <w:rFonts w:ascii="宋体" w:hAnsi="宋体" w:cs="宋体" w:hint="eastAsia"/>
          <w:kern w:val="0"/>
          <w:szCs w:val="21"/>
        </w:rPr>
        <w:t>主险</w:t>
      </w:r>
      <w:r>
        <w:rPr>
          <w:rFonts w:ascii="宋体" w:hAnsi="宋体" w:cs="宋体"/>
          <w:kern w:val="0"/>
          <w:szCs w:val="21"/>
        </w:rPr>
        <w:t>合同基本保险金额的</w:t>
      </w:r>
      <w:r>
        <w:rPr>
          <w:rFonts w:ascii="宋体" w:hAnsi="宋体" w:cs="宋体"/>
          <w:kern w:val="0"/>
          <w:szCs w:val="21"/>
          <w:shd w:val="pct10" w:color="auto" w:fill="FFFFFF"/>
        </w:rPr>
        <w:t>10%</w:t>
      </w:r>
      <w:r>
        <w:rPr>
          <w:rFonts w:ascii="宋体" w:hAnsi="宋体" w:cs="宋体"/>
          <w:kern w:val="0"/>
          <w:szCs w:val="21"/>
        </w:rPr>
        <w:t>给付轻症疾病关爱保险金</w:t>
      </w:r>
      <w:r>
        <w:rPr>
          <w:rFonts w:ascii="宋体" w:hAnsi="宋体" w:cs="宋体" w:hint="eastAsia"/>
          <w:kern w:val="0"/>
          <w:szCs w:val="21"/>
        </w:rPr>
        <w:t>，</w:t>
      </w:r>
      <w:r w:rsidRPr="000037DF">
        <w:rPr>
          <w:rFonts w:ascii="宋体" w:hAnsi="宋体" w:cs="宋体" w:hint="eastAsia"/>
          <w:kern w:val="0"/>
          <w:szCs w:val="21"/>
          <w:shd w:val="pct15" w:color="auto" w:fill="FFFFFF"/>
        </w:rPr>
        <w:t>本项保险责任终止</w:t>
      </w:r>
      <w:r>
        <w:rPr>
          <w:rFonts w:ascii="宋体" w:hAnsi="宋体" w:cs="宋体" w:hint="eastAsia"/>
          <w:kern w:val="0"/>
          <w:szCs w:val="21"/>
        </w:rPr>
        <w:t>。</w:t>
      </w:r>
    </w:p>
    <w:p w14:paraId="7802B8F5" w14:textId="77777777" w:rsidR="008F265F" w:rsidRDefault="00A542E4">
      <w:pPr>
        <w:spacing w:beforeLines="50" w:before="156"/>
        <w:ind w:firstLineChars="200" w:firstLine="420"/>
        <w:rPr>
          <w:rFonts w:ascii="宋体" w:hAnsi="宋体" w:cs="宋体"/>
          <w:kern w:val="0"/>
          <w:szCs w:val="21"/>
        </w:rPr>
      </w:pPr>
      <w:r w:rsidRPr="000037DF">
        <w:rPr>
          <w:rFonts w:ascii="宋体" w:hAnsi="宋体" w:cs="宋体" w:hint="eastAsia"/>
          <w:kern w:val="0"/>
          <w:szCs w:val="21"/>
          <w:shd w:val="pct15" w:color="auto" w:fill="FFFFFF"/>
        </w:rPr>
        <w:t>若被保险人由</w:t>
      </w:r>
      <w:r w:rsidRPr="000037DF">
        <w:rPr>
          <w:rFonts w:ascii="宋体" w:hAnsi="宋体" w:cs="宋体"/>
          <w:kern w:val="0"/>
          <w:szCs w:val="21"/>
          <w:shd w:val="pct15" w:color="auto" w:fill="FFFFFF"/>
        </w:rPr>
        <w:t>我们认可的医院</w:t>
      </w:r>
      <w:r w:rsidRPr="000037DF">
        <w:rPr>
          <w:rFonts w:ascii="宋体" w:hAnsi="宋体" w:cs="宋体" w:hint="eastAsia"/>
          <w:kern w:val="0"/>
          <w:szCs w:val="21"/>
          <w:shd w:val="pct15" w:color="auto" w:fill="FFFFFF"/>
        </w:rPr>
        <w:t>的专科医生初次</w:t>
      </w:r>
      <w:r w:rsidRPr="000037DF">
        <w:rPr>
          <w:rFonts w:ascii="宋体" w:hAnsi="宋体" w:cs="宋体"/>
          <w:kern w:val="0"/>
          <w:szCs w:val="21"/>
          <w:shd w:val="pct15" w:color="auto" w:fill="FFFFFF"/>
        </w:rPr>
        <w:t>确诊发生</w:t>
      </w:r>
      <w:r w:rsidRPr="000037DF">
        <w:rPr>
          <w:rFonts w:ascii="宋体" w:hAnsi="宋体" w:cs="宋体" w:hint="eastAsia"/>
          <w:kern w:val="0"/>
          <w:szCs w:val="21"/>
          <w:shd w:val="pct15" w:color="auto" w:fill="FFFFFF"/>
        </w:rPr>
        <w:t>本主险合同定义的轻症</w:t>
      </w:r>
      <w:r w:rsidRPr="000037DF">
        <w:rPr>
          <w:rFonts w:ascii="宋体" w:hAnsi="宋体" w:cs="宋体"/>
          <w:kern w:val="0"/>
          <w:szCs w:val="21"/>
          <w:shd w:val="pct15" w:color="auto" w:fill="FFFFFF"/>
        </w:rPr>
        <w:t>疾病</w:t>
      </w:r>
      <w:r w:rsidRPr="000037DF">
        <w:rPr>
          <w:rFonts w:ascii="宋体" w:hAnsi="宋体" w:cs="宋体" w:hint="eastAsia"/>
          <w:kern w:val="0"/>
          <w:szCs w:val="21"/>
          <w:shd w:val="pct15" w:color="auto" w:fill="FFFFFF"/>
        </w:rPr>
        <w:t>，确诊时被保险人到达年龄大于或等于六十</w:t>
      </w:r>
      <w:r w:rsidRPr="000037DF">
        <w:rPr>
          <w:rFonts w:ascii="宋体" w:hAnsi="宋体" w:cs="宋体"/>
          <w:kern w:val="0"/>
          <w:szCs w:val="21"/>
          <w:shd w:val="pct15" w:color="auto" w:fill="FFFFFF"/>
        </w:rPr>
        <w:t>岁</w:t>
      </w:r>
      <w:r w:rsidRPr="000037DF">
        <w:rPr>
          <w:rFonts w:ascii="宋体" w:hAnsi="宋体" w:cs="宋体" w:hint="eastAsia"/>
          <w:kern w:val="0"/>
          <w:szCs w:val="21"/>
          <w:shd w:val="pct15" w:color="auto" w:fill="FFFFFF"/>
        </w:rPr>
        <w:t>，</w:t>
      </w:r>
      <w:r w:rsidRPr="000037DF">
        <w:rPr>
          <w:rFonts w:ascii="宋体" w:hAnsi="宋体" w:cs="宋体"/>
          <w:kern w:val="0"/>
          <w:szCs w:val="21"/>
          <w:shd w:val="pct15" w:color="auto" w:fill="FFFFFF"/>
        </w:rPr>
        <w:t>我们</w:t>
      </w:r>
      <w:r w:rsidRPr="000037DF">
        <w:rPr>
          <w:rFonts w:ascii="宋体" w:hAnsi="宋体" w:cs="宋体" w:hint="eastAsia"/>
          <w:kern w:val="0"/>
          <w:szCs w:val="21"/>
          <w:shd w:val="pct15" w:color="auto" w:fill="FFFFFF"/>
        </w:rPr>
        <w:t>不承担</w:t>
      </w:r>
      <w:r w:rsidRPr="000037DF">
        <w:rPr>
          <w:rFonts w:ascii="宋体" w:hAnsi="宋体" w:cs="宋体"/>
          <w:kern w:val="0"/>
          <w:szCs w:val="21"/>
          <w:shd w:val="pct15" w:color="auto" w:fill="FFFFFF"/>
        </w:rPr>
        <w:t>给付</w:t>
      </w:r>
      <w:r w:rsidRPr="000037DF">
        <w:rPr>
          <w:rFonts w:ascii="宋体" w:hAnsi="宋体" w:cs="宋体" w:hint="eastAsia"/>
          <w:kern w:val="0"/>
          <w:szCs w:val="21"/>
          <w:shd w:val="pct15" w:color="auto" w:fill="FFFFFF"/>
        </w:rPr>
        <w:t>轻症</w:t>
      </w:r>
      <w:r w:rsidRPr="000037DF">
        <w:rPr>
          <w:rFonts w:ascii="宋体" w:hAnsi="宋体" w:cs="宋体"/>
          <w:kern w:val="0"/>
          <w:szCs w:val="21"/>
          <w:shd w:val="pct15" w:color="auto" w:fill="FFFFFF"/>
        </w:rPr>
        <w:t>疾病关爱保险金</w:t>
      </w:r>
      <w:r w:rsidRPr="000037DF">
        <w:rPr>
          <w:rFonts w:ascii="宋体" w:hAnsi="宋体" w:cs="宋体" w:hint="eastAsia"/>
          <w:kern w:val="0"/>
          <w:szCs w:val="21"/>
          <w:shd w:val="pct15" w:color="auto" w:fill="FFFFFF"/>
        </w:rPr>
        <w:t>的责任，本项保险责任终止。</w:t>
      </w:r>
    </w:p>
    <w:p w14:paraId="1B7E7BBA" w14:textId="77777777" w:rsidR="008F265F" w:rsidRDefault="00A542E4">
      <w:pPr>
        <w:spacing w:beforeLines="50" w:before="156"/>
        <w:ind w:left="420"/>
        <w:rPr>
          <w:rFonts w:ascii="宋体" w:hAnsi="宋体" w:cs="宋体"/>
          <w:kern w:val="0"/>
          <w:szCs w:val="21"/>
        </w:rPr>
      </w:pPr>
      <w:r>
        <w:rPr>
          <w:rFonts w:ascii="宋体" w:hAnsi="宋体" w:cs="宋体"/>
          <w:kern w:val="0"/>
          <w:szCs w:val="21"/>
        </w:rPr>
        <w:t>2.</w:t>
      </w:r>
      <w:r>
        <w:rPr>
          <w:rFonts w:ascii="宋体" w:hAnsi="宋体" w:cs="宋体" w:hint="eastAsia"/>
          <w:kern w:val="0"/>
          <w:szCs w:val="21"/>
        </w:rPr>
        <w:t>中症疾病关爱保险金</w:t>
      </w:r>
    </w:p>
    <w:p w14:paraId="5E5D57A0"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若被保险人由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本主险合同定义的中症</w:t>
      </w:r>
      <w:r>
        <w:rPr>
          <w:rFonts w:ascii="宋体" w:hAnsi="宋体" w:cs="宋体"/>
          <w:kern w:val="0"/>
          <w:szCs w:val="21"/>
        </w:rPr>
        <w:t>疾病（</w:t>
      </w:r>
      <w:r>
        <w:rPr>
          <w:rFonts w:ascii="宋体" w:hAnsi="宋体" w:cs="宋体" w:hint="eastAsia"/>
          <w:kern w:val="0"/>
          <w:szCs w:val="21"/>
        </w:rPr>
        <w:t>无论</w:t>
      </w:r>
      <w:r>
        <w:rPr>
          <w:rFonts w:ascii="宋体" w:hAnsi="宋体" w:cs="宋体"/>
          <w:kern w:val="0"/>
          <w:szCs w:val="21"/>
        </w:rPr>
        <w:t>一项或多项</w:t>
      </w:r>
      <w:r>
        <w:rPr>
          <w:rFonts w:ascii="宋体" w:hAnsi="宋体" w:cs="宋体" w:hint="eastAsia"/>
          <w:kern w:val="0"/>
          <w:szCs w:val="21"/>
        </w:rPr>
        <w:t>，按一项给付</w:t>
      </w:r>
      <w:r>
        <w:rPr>
          <w:rFonts w:ascii="宋体" w:hAnsi="宋体" w:cs="宋体"/>
          <w:kern w:val="0"/>
          <w:szCs w:val="21"/>
        </w:rPr>
        <w:t>）</w:t>
      </w:r>
      <w:r>
        <w:rPr>
          <w:rFonts w:ascii="宋体" w:hAnsi="宋体" w:cs="宋体" w:hint="eastAsia"/>
          <w:kern w:val="0"/>
          <w:szCs w:val="21"/>
        </w:rPr>
        <w:t>，</w:t>
      </w:r>
      <w:r w:rsidRPr="000037DF">
        <w:rPr>
          <w:rFonts w:ascii="宋体" w:hAnsi="宋体" w:cs="宋体" w:hint="eastAsia"/>
          <w:kern w:val="0"/>
          <w:szCs w:val="21"/>
          <w:shd w:val="pct15" w:color="auto" w:fill="FFFFFF"/>
        </w:rPr>
        <w:t>确诊时被保险人到达年龄小于六十</w:t>
      </w:r>
      <w:r w:rsidRPr="000037DF">
        <w:rPr>
          <w:rFonts w:ascii="宋体" w:hAnsi="宋体" w:cs="宋体"/>
          <w:kern w:val="0"/>
          <w:szCs w:val="21"/>
          <w:shd w:val="pct15" w:color="auto" w:fill="FFFFFF"/>
        </w:rPr>
        <w:t>岁</w:t>
      </w:r>
      <w:r w:rsidRPr="000037DF">
        <w:rPr>
          <w:rFonts w:ascii="宋体" w:hAnsi="宋体" w:cs="宋体" w:hint="eastAsia"/>
          <w:kern w:val="0"/>
          <w:szCs w:val="21"/>
          <w:shd w:val="pct15" w:color="auto" w:fill="FFFFFF"/>
        </w:rPr>
        <w:t>（不含）</w:t>
      </w:r>
      <w:r>
        <w:rPr>
          <w:rFonts w:ascii="宋体" w:hAnsi="宋体" w:cs="宋体" w:hint="eastAsia"/>
          <w:kern w:val="0"/>
          <w:szCs w:val="21"/>
        </w:rPr>
        <w:t>，</w:t>
      </w:r>
      <w:r>
        <w:rPr>
          <w:rFonts w:ascii="宋体" w:hAnsi="宋体" w:cs="宋体"/>
          <w:kern w:val="0"/>
          <w:szCs w:val="21"/>
        </w:rPr>
        <w:t>我们按本</w:t>
      </w:r>
      <w:r>
        <w:rPr>
          <w:rFonts w:ascii="宋体" w:hAnsi="宋体" w:cs="宋体" w:hint="eastAsia"/>
          <w:kern w:val="0"/>
          <w:szCs w:val="21"/>
        </w:rPr>
        <w:t>主险</w:t>
      </w:r>
      <w:r>
        <w:rPr>
          <w:rFonts w:ascii="宋体" w:hAnsi="宋体" w:cs="宋体"/>
          <w:kern w:val="0"/>
          <w:szCs w:val="21"/>
        </w:rPr>
        <w:t>合同基本保险金额的</w:t>
      </w:r>
      <w:r w:rsidRPr="000037DF">
        <w:rPr>
          <w:rFonts w:ascii="宋体" w:hAnsi="宋体" w:cs="宋体"/>
          <w:kern w:val="0"/>
          <w:szCs w:val="21"/>
          <w:shd w:val="pct15" w:color="auto" w:fill="FFFFFF"/>
        </w:rPr>
        <w:t>20%</w:t>
      </w:r>
      <w:r>
        <w:rPr>
          <w:rFonts w:ascii="宋体" w:hAnsi="宋体" w:cs="宋体"/>
          <w:kern w:val="0"/>
          <w:szCs w:val="21"/>
        </w:rPr>
        <w:t>给付</w:t>
      </w:r>
      <w:r>
        <w:rPr>
          <w:rFonts w:ascii="宋体" w:hAnsi="宋体" w:cs="宋体" w:hint="eastAsia"/>
          <w:kern w:val="0"/>
          <w:szCs w:val="21"/>
        </w:rPr>
        <w:t>中症</w:t>
      </w:r>
      <w:r>
        <w:rPr>
          <w:rFonts w:ascii="宋体" w:hAnsi="宋体" w:cs="宋体"/>
          <w:kern w:val="0"/>
          <w:szCs w:val="21"/>
        </w:rPr>
        <w:t>疾病关爱保险金</w:t>
      </w:r>
      <w:r>
        <w:rPr>
          <w:rFonts w:ascii="宋体" w:hAnsi="宋体" w:cs="宋体" w:hint="eastAsia"/>
          <w:kern w:val="0"/>
          <w:szCs w:val="21"/>
        </w:rPr>
        <w:t>，</w:t>
      </w:r>
      <w:r w:rsidRPr="000037DF">
        <w:rPr>
          <w:rFonts w:ascii="宋体" w:hAnsi="宋体" w:cs="宋体" w:hint="eastAsia"/>
          <w:kern w:val="0"/>
          <w:szCs w:val="21"/>
          <w:shd w:val="pct15" w:color="auto" w:fill="FFFFFF"/>
        </w:rPr>
        <w:t>本项保险责任终止</w:t>
      </w:r>
      <w:r>
        <w:rPr>
          <w:rFonts w:ascii="宋体" w:hAnsi="宋体" w:cs="宋体" w:hint="eastAsia"/>
          <w:kern w:val="0"/>
          <w:szCs w:val="21"/>
        </w:rPr>
        <w:t>。</w:t>
      </w:r>
    </w:p>
    <w:p w14:paraId="3DF772C9" w14:textId="77777777" w:rsidR="008F265F" w:rsidRPr="000037DF" w:rsidRDefault="00A542E4">
      <w:pPr>
        <w:spacing w:beforeLines="50" w:before="156"/>
        <w:ind w:firstLineChars="200" w:firstLine="420"/>
        <w:rPr>
          <w:rFonts w:ascii="宋体" w:hAnsi="宋体" w:cs="宋体"/>
          <w:kern w:val="0"/>
          <w:szCs w:val="21"/>
          <w:shd w:val="pct15" w:color="auto" w:fill="FFFFFF"/>
        </w:rPr>
      </w:pPr>
      <w:r w:rsidRPr="000037DF">
        <w:rPr>
          <w:rFonts w:ascii="宋体" w:hAnsi="宋体" w:cs="宋体" w:hint="eastAsia"/>
          <w:kern w:val="0"/>
          <w:szCs w:val="21"/>
          <w:shd w:val="pct15" w:color="auto" w:fill="FFFFFF"/>
        </w:rPr>
        <w:t>若被保险人由</w:t>
      </w:r>
      <w:r w:rsidRPr="000037DF">
        <w:rPr>
          <w:rFonts w:ascii="宋体" w:hAnsi="宋体" w:cs="宋体"/>
          <w:kern w:val="0"/>
          <w:szCs w:val="21"/>
          <w:shd w:val="pct15" w:color="auto" w:fill="FFFFFF"/>
        </w:rPr>
        <w:t>我们认可的医院</w:t>
      </w:r>
      <w:r w:rsidRPr="000037DF">
        <w:rPr>
          <w:rFonts w:ascii="宋体" w:hAnsi="宋体" w:cs="宋体" w:hint="eastAsia"/>
          <w:kern w:val="0"/>
          <w:szCs w:val="21"/>
          <w:shd w:val="pct15" w:color="auto" w:fill="FFFFFF"/>
        </w:rPr>
        <w:t>的专科医生初次</w:t>
      </w:r>
      <w:r w:rsidRPr="000037DF">
        <w:rPr>
          <w:rFonts w:ascii="宋体" w:hAnsi="宋体" w:cs="宋体"/>
          <w:kern w:val="0"/>
          <w:szCs w:val="21"/>
          <w:shd w:val="pct15" w:color="auto" w:fill="FFFFFF"/>
        </w:rPr>
        <w:t>确诊发生</w:t>
      </w:r>
      <w:r w:rsidRPr="000037DF">
        <w:rPr>
          <w:rFonts w:ascii="宋体" w:hAnsi="宋体" w:cs="宋体" w:hint="eastAsia"/>
          <w:kern w:val="0"/>
          <w:szCs w:val="21"/>
          <w:shd w:val="pct15" w:color="auto" w:fill="FFFFFF"/>
        </w:rPr>
        <w:t>本主险合同定义的中症</w:t>
      </w:r>
      <w:r w:rsidRPr="000037DF">
        <w:rPr>
          <w:rFonts w:ascii="宋体" w:hAnsi="宋体" w:cs="宋体"/>
          <w:kern w:val="0"/>
          <w:szCs w:val="21"/>
          <w:shd w:val="pct15" w:color="auto" w:fill="FFFFFF"/>
        </w:rPr>
        <w:t>疾病</w:t>
      </w:r>
      <w:r w:rsidRPr="000037DF">
        <w:rPr>
          <w:rFonts w:ascii="宋体" w:hAnsi="宋体" w:cs="宋体" w:hint="eastAsia"/>
          <w:kern w:val="0"/>
          <w:szCs w:val="21"/>
          <w:shd w:val="pct15" w:color="auto" w:fill="FFFFFF"/>
        </w:rPr>
        <w:t>，确诊时被保险人到达年龄大于或等于六十</w:t>
      </w:r>
      <w:r w:rsidRPr="000037DF">
        <w:rPr>
          <w:rFonts w:ascii="宋体" w:hAnsi="宋体" w:cs="宋体"/>
          <w:kern w:val="0"/>
          <w:szCs w:val="21"/>
          <w:shd w:val="pct15" w:color="auto" w:fill="FFFFFF"/>
        </w:rPr>
        <w:t>岁</w:t>
      </w:r>
      <w:r w:rsidRPr="000037DF">
        <w:rPr>
          <w:rFonts w:ascii="宋体" w:hAnsi="宋体" w:cs="宋体" w:hint="eastAsia"/>
          <w:kern w:val="0"/>
          <w:szCs w:val="21"/>
          <w:shd w:val="pct15" w:color="auto" w:fill="FFFFFF"/>
        </w:rPr>
        <w:t>，</w:t>
      </w:r>
      <w:r w:rsidRPr="000037DF">
        <w:rPr>
          <w:rFonts w:ascii="宋体" w:hAnsi="宋体" w:cs="宋体"/>
          <w:kern w:val="0"/>
          <w:szCs w:val="21"/>
          <w:shd w:val="pct15" w:color="auto" w:fill="FFFFFF"/>
        </w:rPr>
        <w:t>我们</w:t>
      </w:r>
      <w:r w:rsidRPr="000037DF">
        <w:rPr>
          <w:rFonts w:ascii="宋体" w:hAnsi="宋体" w:cs="宋体" w:hint="eastAsia"/>
          <w:kern w:val="0"/>
          <w:szCs w:val="21"/>
          <w:shd w:val="pct15" w:color="auto" w:fill="FFFFFF"/>
        </w:rPr>
        <w:t>不承担</w:t>
      </w:r>
      <w:r w:rsidRPr="000037DF">
        <w:rPr>
          <w:rFonts w:ascii="宋体" w:hAnsi="宋体" w:cs="宋体"/>
          <w:kern w:val="0"/>
          <w:szCs w:val="21"/>
          <w:shd w:val="pct15" w:color="auto" w:fill="FFFFFF"/>
        </w:rPr>
        <w:t>给付</w:t>
      </w:r>
      <w:r w:rsidRPr="000037DF">
        <w:rPr>
          <w:rFonts w:ascii="宋体" w:hAnsi="宋体" w:cs="宋体" w:hint="eastAsia"/>
          <w:kern w:val="0"/>
          <w:szCs w:val="21"/>
          <w:shd w:val="pct15" w:color="auto" w:fill="FFFFFF"/>
        </w:rPr>
        <w:t>中症</w:t>
      </w:r>
      <w:r w:rsidRPr="000037DF">
        <w:rPr>
          <w:rFonts w:ascii="宋体" w:hAnsi="宋体" w:cs="宋体"/>
          <w:kern w:val="0"/>
          <w:szCs w:val="21"/>
          <w:shd w:val="pct15" w:color="auto" w:fill="FFFFFF"/>
        </w:rPr>
        <w:t>疾病关爱保险金</w:t>
      </w:r>
      <w:r w:rsidRPr="000037DF">
        <w:rPr>
          <w:rFonts w:ascii="宋体" w:hAnsi="宋体" w:cs="宋体" w:hint="eastAsia"/>
          <w:kern w:val="0"/>
          <w:szCs w:val="21"/>
          <w:shd w:val="pct15" w:color="auto" w:fill="FFFFFF"/>
        </w:rPr>
        <w:t>的责任，本项保险责任终止。</w:t>
      </w:r>
    </w:p>
    <w:p w14:paraId="58FB64CE" w14:textId="77777777" w:rsidR="008F265F" w:rsidRDefault="00A542E4">
      <w:pPr>
        <w:spacing w:beforeLines="50" w:before="156"/>
        <w:ind w:firstLineChars="200" w:firstLine="420"/>
        <w:rPr>
          <w:rFonts w:ascii="宋体" w:hAnsi="宋体" w:cs="宋体"/>
          <w:kern w:val="0"/>
          <w:szCs w:val="21"/>
        </w:rPr>
      </w:pPr>
      <w:r>
        <w:rPr>
          <w:rFonts w:ascii="宋体" w:hAnsi="宋体" w:cs="宋体"/>
          <w:kern w:val="0"/>
          <w:szCs w:val="21"/>
        </w:rPr>
        <w:lastRenderedPageBreak/>
        <w:t>3.</w:t>
      </w:r>
      <w:r>
        <w:rPr>
          <w:rFonts w:ascii="宋体" w:hAnsi="宋体" w:cs="宋体" w:hint="eastAsia"/>
          <w:kern w:val="0"/>
          <w:szCs w:val="21"/>
        </w:rPr>
        <w:t>重大疾病关爱保险金</w:t>
      </w:r>
    </w:p>
    <w:p w14:paraId="3F57203B" w14:textId="4546673B"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若被保险人由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本主险合同定义的</w:t>
      </w:r>
      <w:r>
        <w:rPr>
          <w:rFonts w:ascii="宋体" w:hAnsi="宋体" w:cs="宋体"/>
          <w:kern w:val="0"/>
          <w:szCs w:val="21"/>
        </w:rPr>
        <w:t>重大疾病（</w:t>
      </w:r>
      <w:r>
        <w:rPr>
          <w:rFonts w:ascii="宋体" w:hAnsi="宋体" w:cs="宋体" w:hint="eastAsia"/>
          <w:kern w:val="0"/>
          <w:szCs w:val="21"/>
        </w:rPr>
        <w:t>无论</w:t>
      </w:r>
      <w:r>
        <w:rPr>
          <w:rFonts w:ascii="宋体" w:hAnsi="宋体" w:cs="宋体"/>
          <w:kern w:val="0"/>
          <w:szCs w:val="21"/>
        </w:rPr>
        <w:t>一项或多项</w:t>
      </w:r>
      <w:r>
        <w:rPr>
          <w:rFonts w:ascii="宋体" w:hAnsi="宋体" w:cs="宋体" w:hint="eastAsia"/>
          <w:kern w:val="0"/>
          <w:szCs w:val="21"/>
        </w:rPr>
        <w:t>，按一项给付</w:t>
      </w:r>
      <w:r>
        <w:rPr>
          <w:rFonts w:ascii="宋体" w:hAnsi="宋体" w:cs="宋体"/>
          <w:kern w:val="0"/>
          <w:szCs w:val="21"/>
        </w:rPr>
        <w:t>）</w:t>
      </w:r>
      <w:r>
        <w:rPr>
          <w:rFonts w:ascii="宋体" w:hAnsi="宋体" w:cs="宋体" w:hint="eastAsia"/>
          <w:kern w:val="0"/>
          <w:szCs w:val="21"/>
        </w:rPr>
        <w:t>，</w:t>
      </w:r>
      <w:r w:rsidRPr="000037DF">
        <w:rPr>
          <w:rFonts w:ascii="宋体" w:hAnsi="宋体" w:cs="宋体" w:hint="eastAsia"/>
          <w:kern w:val="0"/>
          <w:szCs w:val="21"/>
          <w:shd w:val="pct15" w:color="auto" w:fill="FFFFFF"/>
        </w:rPr>
        <w:t>确诊时被保险人到达年龄小于六十</w:t>
      </w:r>
      <w:r w:rsidRPr="000037DF">
        <w:rPr>
          <w:rFonts w:ascii="宋体" w:hAnsi="宋体" w:cs="宋体"/>
          <w:kern w:val="0"/>
          <w:szCs w:val="21"/>
          <w:shd w:val="pct15" w:color="auto" w:fill="FFFFFF"/>
        </w:rPr>
        <w:t>岁</w:t>
      </w:r>
      <w:r w:rsidRPr="000037DF">
        <w:rPr>
          <w:rFonts w:ascii="宋体" w:hAnsi="宋体" w:cs="宋体" w:hint="eastAsia"/>
          <w:kern w:val="0"/>
          <w:szCs w:val="21"/>
          <w:shd w:val="pct15" w:color="auto" w:fill="FFFFFF"/>
        </w:rPr>
        <w:t>（不含）</w:t>
      </w:r>
      <w:r>
        <w:rPr>
          <w:rFonts w:ascii="宋体" w:hAnsi="宋体" w:cs="宋体" w:hint="eastAsia"/>
          <w:kern w:val="0"/>
          <w:szCs w:val="21"/>
        </w:rPr>
        <w:t>，</w:t>
      </w:r>
      <w:r>
        <w:rPr>
          <w:rFonts w:ascii="宋体" w:hAnsi="宋体" w:cs="宋体"/>
          <w:kern w:val="0"/>
          <w:szCs w:val="21"/>
        </w:rPr>
        <w:t>我们按本</w:t>
      </w:r>
      <w:r>
        <w:rPr>
          <w:rFonts w:ascii="宋体" w:hAnsi="宋体" w:cs="宋体" w:hint="eastAsia"/>
          <w:kern w:val="0"/>
          <w:szCs w:val="21"/>
        </w:rPr>
        <w:t>主险</w:t>
      </w:r>
      <w:r>
        <w:rPr>
          <w:rFonts w:ascii="宋体" w:hAnsi="宋体" w:cs="宋体"/>
          <w:kern w:val="0"/>
          <w:szCs w:val="21"/>
        </w:rPr>
        <w:t>合同基本保险金额的</w:t>
      </w:r>
      <w:r>
        <w:rPr>
          <w:rFonts w:ascii="宋体" w:hAnsi="宋体" w:cs="宋体"/>
          <w:kern w:val="0"/>
          <w:szCs w:val="21"/>
          <w:shd w:val="pct10" w:color="auto" w:fill="FFFFFF"/>
        </w:rPr>
        <w:t>60%</w:t>
      </w:r>
      <w:r>
        <w:rPr>
          <w:rFonts w:ascii="宋体" w:hAnsi="宋体" w:cs="宋体"/>
          <w:kern w:val="0"/>
          <w:szCs w:val="21"/>
        </w:rPr>
        <w:t>给付重大疾病关爱保险金</w:t>
      </w:r>
      <w:r>
        <w:rPr>
          <w:rFonts w:ascii="宋体" w:hAnsi="宋体" w:cs="宋体" w:hint="eastAsia"/>
          <w:kern w:val="0"/>
          <w:szCs w:val="21"/>
        </w:rPr>
        <w:t>，</w:t>
      </w:r>
      <w:r w:rsidRPr="000037DF">
        <w:rPr>
          <w:rFonts w:ascii="宋体" w:hAnsi="宋体" w:cs="宋体" w:hint="eastAsia"/>
          <w:kern w:val="0"/>
          <w:szCs w:val="21"/>
          <w:shd w:val="pct15" w:color="auto" w:fill="FFFFFF"/>
        </w:rPr>
        <w:t>本项保险责任终止</w:t>
      </w:r>
      <w:r>
        <w:rPr>
          <w:rFonts w:ascii="宋体" w:hAnsi="宋体" w:cs="宋体" w:hint="eastAsia"/>
          <w:kern w:val="0"/>
          <w:szCs w:val="21"/>
        </w:rPr>
        <w:t>。</w:t>
      </w:r>
    </w:p>
    <w:p w14:paraId="0C7C58C5" w14:textId="77777777" w:rsidR="008F265F" w:rsidRPr="000037DF" w:rsidRDefault="00A542E4">
      <w:pPr>
        <w:spacing w:beforeLines="50" w:before="156"/>
        <w:ind w:firstLineChars="200" w:firstLine="420"/>
        <w:rPr>
          <w:rFonts w:ascii="宋体" w:hAnsi="宋体" w:cs="宋体"/>
          <w:kern w:val="0"/>
          <w:szCs w:val="21"/>
          <w:shd w:val="pct15" w:color="auto" w:fill="FFFFFF"/>
        </w:rPr>
      </w:pPr>
      <w:r w:rsidRPr="000037DF">
        <w:rPr>
          <w:rFonts w:ascii="宋体" w:hAnsi="宋体" w:cs="宋体" w:hint="eastAsia"/>
          <w:kern w:val="0"/>
          <w:szCs w:val="21"/>
          <w:shd w:val="pct15" w:color="auto" w:fill="FFFFFF"/>
        </w:rPr>
        <w:t>若被保险人由</w:t>
      </w:r>
      <w:r w:rsidRPr="000037DF">
        <w:rPr>
          <w:rFonts w:ascii="宋体" w:hAnsi="宋体" w:cs="宋体"/>
          <w:kern w:val="0"/>
          <w:szCs w:val="21"/>
          <w:shd w:val="pct15" w:color="auto" w:fill="FFFFFF"/>
        </w:rPr>
        <w:t>我们认可的医院</w:t>
      </w:r>
      <w:r w:rsidRPr="000037DF">
        <w:rPr>
          <w:rFonts w:ascii="宋体" w:hAnsi="宋体" w:cs="宋体" w:hint="eastAsia"/>
          <w:kern w:val="0"/>
          <w:szCs w:val="21"/>
          <w:shd w:val="pct15" w:color="auto" w:fill="FFFFFF"/>
        </w:rPr>
        <w:t>的专科医生初次</w:t>
      </w:r>
      <w:r w:rsidRPr="000037DF">
        <w:rPr>
          <w:rFonts w:ascii="宋体" w:hAnsi="宋体" w:cs="宋体"/>
          <w:kern w:val="0"/>
          <w:szCs w:val="21"/>
          <w:shd w:val="pct15" w:color="auto" w:fill="FFFFFF"/>
        </w:rPr>
        <w:t>确诊发生</w:t>
      </w:r>
      <w:r w:rsidRPr="000037DF">
        <w:rPr>
          <w:rFonts w:ascii="宋体" w:hAnsi="宋体" w:cs="宋体" w:hint="eastAsia"/>
          <w:kern w:val="0"/>
          <w:szCs w:val="21"/>
          <w:shd w:val="pct15" w:color="auto" w:fill="FFFFFF"/>
        </w:rPr>
        <w:t>本主险合同定义的</w:t>
      </w:r>
      <w:r w:rsidRPr="000037DF">
        <w:rPr>
          <w:rFonts w:ascii="宋体" w:hAnsi="宋体" w:cs="宋体"/>
          <w:kern w:val="0"/>
          <w:szCs w:val="21"/>
          <w:shd w:val="pct15" w:color="auto" w:fill="FFFFFF"/>
        </w:rPr>
        <w:t>重大疾病</w:t>
      </w:r>
      <w:r w:rsidRPr="000037DF">
        <w:rPr>
          <w:rFonts w:ascii="宋体" w:hAnsi="宋体" w:cs="宋体" w:hint="eastAsia"/>
          <w:kern w:val="0"/>
          <w:szCs w:val="21"/>
          <w:shd w:val="pct15" w:color="auto" w:fill="FFFFFF"/>
        </w:rPr>
        <w:t>，确诊时被保险人到达年龄大于或等于六十</w:t>
      </w:r>
      <w:r w:rsidRPr="000037DF">
        <w:rPr>
          <w:rFonts w:ascii="宋体" w:hAnsi="宋体" w:cs="宋体"/>
          <w:kern w:val="0"/>
          <w:szCs w:val="21"/>
          <w:shd w:val="pct15" w:color="auto" w:fill="FFFFFF"/>
        </w:rPr>
        <w:t>岁</w:t>
      </w:r>
      <w:r w:rsidRPr="000037DF">
        <w:rPr>
          <w:rFonts w:ascii="宋体" w:hAnsi="宋体" w:cs="宋体" w:hint="eastAsia"/>
          <w:kern w:val="0"/>
          <w:szCs w:val="21"/>
          <w:shd w:val="pct15" w:color="auto" w:fill="FFFFFF"/>
        </w:rPr>
        <w:t>，</w:t>
      </w:r>
      <w:r w:rsidRPr="000037DF">
        <w:rPr>
          <w:rFonts w:ascii="宋体" w:hAnsi="宋体" w:cs="宋体"/>
          <w:kern w:val="0"/>
          <w:szCs w:val="21"/>
          <w:shd w:val="pct15" w:color="auto" w:fill="FFFFFF"/>
        </w:rPr>
        <w:t>我们</w:t>
      </w:r>
      <w:r w:rsidRPr="000037DF">
        <w:rPr>
          <w:rFonts w:ascii="宋体" w:hAnsi="宋体" w:cs="宋体" w:hint="eastAsia"/>
          <w:kern w:val="0"/>
          <w:szCs w:val="21"/>
          <w:shd w:val="pct15" w:color="auto" w:fill="FFFFFF"/>
        </w:rPr>
        <w:t>不承担</w:t>
      </w:r>
      <w:r w:rsidRPr="000037DF">
        <w:rPr>
          <w:rFonts w:ascii="宋体" w:hAnsi="宋体" w:cs="宋体"/>
          <w:kern w:val="0"/>
          <w:szCs w:val="21"/>
          <w:shd w:val="pct15" w:color="auto" w:fill="FFFFFF"/>
        </w:rPr>
        <w:t>给付重大疾病关爱保险金</w:t>
      </w:r>
      <w:r w:rsidRPr="000037DF">
        <w:rPr>
          <w:rFonts w:ascii="宋体" w:hAnsi="宋体" w:cs="宋体" w:hint="eastAsia"/>
          <w:kern w:val="0"/>
          <w:szCs w:val="21"/>
          <w:shd w:val="pct15" w:color="auto" w:fill="FFFFFF"/>
        </w:rPr>
        <w:t>的责任，本项保险责任终止。</w:t>
      </w:r>
    </w:p>
    <w:p w14:paraId="19662F2C"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（二）重大疾病多次给付保险金</w:t>
      </w:r>
    </w:p>
    <w:p w14:paraId="002C67E8"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本主险合同的重大疾病多次给付保险金责任由第二次重大疾病保险金、第三次重大疾病保险金及第四次重大疾病保险金组成。</w:t>
      </w:r>
    </w:p>
    <w:p w14:paraId="429AD63E" w14:textId="77777777" w:rsidR="008F265F" w:rsidRDefault="00A542E4">
      <w:pPr>
        <w:spacing w:beforeLines="50" w:before="156"/>
        <w:ind w:firstLineChars="200" w:firstLine="420"/>
        <w:rPr>
          <w:rFonts w:ascii="宋体" w:hAnsi="宋体" w:cs="宋体"/>
          <w:kern w:val="0"/>
          <w:szCs w:val="21"/>
        </w:rPr>
      </w:pPr>
      <w:r>
        <w:rPr>
          <w:rFonts w:ascii="宋体" w:hAnsi="宋体" w:cs="宋体"/>
          <w:kern w:val="0"/>
          <w:szCs w:val="21"/>
        </w:rPr>
        <w:t>1.</w:t>
      </w:r>
      <w:r>
        <w:rPr>
          <w:rFonts w:ascii="宋体" w:hAnsi="宋体" w:cs="宋体" w:hint="eastAsia"/>
          <w:kern w:val="0"/>
          <w:szCs w:val="21"/>
        </w:rPr>
        <w:t>第二次重大疾病保险金</w:t>
      </w:r>
    </w:p>
    <w:p w14:paraId="4919F3BF" w14:textId="38F317DA"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若被保险人由我们认可的医院的专科医生初次确诊发生本主险合同定义的重大疾病，且我们已针对该重大疾病给付了重大疾病保险金，</w:t>
      </w:r>
      <w:r>
        <w:rPr>
          <w:rFonts w:cs="宋体" w:hint="eastAsia"/>
          <w:kern w:val="0"/>
          <w:szCs w:val="21"/>
        </w:rPr>
        <w:t>自</w:t>
      </w:r>
      <w:r>
        <w:rPr>
          <w:rFonts w:ascii="宋体" w:hAnsi="宋体" w:hint="eastAsia"/>
          <w:bCs/>
        </w:rPr>
        <w:t>该</w:t>
      </w:r>
      <w:r>
        <w:rPr>
          <w:rFonts w:ascii="宋体" w:hAnsi="宋体" w:cs="宋体"/>
          <w:kern w:val="0"/>
          <w:szCs w:val="21"/>
        </w:rPr>
        <w:t>重大疾病确诊日</w:t>
      </w:r>
      <w:r>
        <w:rPr>
          <w:rFonts w:ascii="宋体" w:hAnsi="宋体" w:cs="宋体" w:hint="eastAsia"/>
          <w:kern w:val="0"/>
          <w:szCs w:val="21"/>
        </w:rPr>
        <w:t>起</w:t>
      </w:r>
      <w:r w:rsidRPr="000037DF">
        <w:rPr>
          <w:rFonts w:ascii="宋体" w:hAnsi="宋体" w:cs="宋体"/>
          <w:kern w:val="0"/>
          <w:szCs w:val="21"/>
          <w:shd w:val="pct15" w:color="auto" w:fill="FFFFFF"/>
        </w:rPr>
        <w:t>满一年</w:t>
      </w:r>
      <w:r w:rsidRPr="000037DF">
        <w:rPr>
          <w:rFonts w:ascii="宋体" w:hAnsi="宋体" w:cs="宋体" w:hint="eastAsia"/>
          <w:kern w:val="0"/>
          <w:szCs w:val="21"/>
          <w:shd w:val="pct15" w:color="auto" w:fill="FFFFFF"/>
        </w:rPr>
        <w:t>后</w:t>
      </w:r>
      <w:r>
        <w:rPr>
          <w:rFonts w:cs="宋体" w:hint="eastAsia"/>
          <w:kern w:val="0"/>
          <w:szCs w:val="21"/>
        </w:rPr>
        <w:t>，被保险人由我们认可的医院的专科医生初次确诊发生本主险合同定义的且与</w:t>
      </w:r>
      <w:r>
        <w:rPr>
          <w:rFonts w:ascii="宋体" w:hAnsi="宋体" w:hint="eastAsia"/>
          <w:bCs/>
        </w:rPr>
        <w:t>该</w:t>
      </w:r>
      <w:r>
        <w:rPr>
          <w:rFonts w:ascii="宋体" w:hAnsi="宋体" w:cs="宋体"/>
          <w:kern w:val="0"/>
          <w:szCs w:val="21"/>
        </w:rPr>
        <w:t>重大疾病不同的其他重大疾病</w:t>
      </w:r>
      <w:r>
        <w:rPr>
          <w:rFonts w:ascii="宋体" w:hAnsi="宋体" w:cs="宋体" w:hint="eastAsia"/>
          <w:kern w:val="0"/>
          <w:szCs w:val="21"/>
        </w:rPr>
        <w:t>（无论一项或多项，按一项给付）</w:t>
      </w:r>
      <w:r>
        <w:rPr>
          <w:rFonts w:cs="宋体" w:hint="eastAsia"/>
          <w:kern w:val="0"/>
          <w:szCs w:val="21"/>
        </w:rPr>
        <w:t>，</w:t>
      </w:r>
      <w:r>
        <w:rPr>
          <w:rFonts w:ascii="宋体" w:hAnsi="宋体" w:cs="宋体"/>
          <w:kern w:val="0"/>
          <w:szCs w:val="21"/>
        </w:rPr>
        <w:t>我们按本主险合同基本保险金额的</w:t>
      </w:r>
      <w:r>
        <w:rPr>
          <w:rFonts w:ascii="宋体" w:hAnsi="宋体" w:cs="宋体"/>
          <w:b/>
          <w:kern w:val="0"/>
          <w:szCs w:val="21"/>
        </w:rPr>
        <w:t>120%</w:t>
      </w:r>
      <w:r>
        <w:rPr>
          <w:rFonts w:ascii="宋体" w:hAnsi="宋体" w:cs="宋体"/>
          <w:kern w:val="0"/>
          <w:szCs w:val="21"/>
        </w:rPr>
        <w:t>给付</w:t>
      </w:r>
      <w:r>
        <w:rPr>
          <w:rFonts w:ascii="宋体" w:hAnsi="宋体" w:cs="宋体" w:hint="eastAsia"/>
          <w:kern w:val="0"/>
          <w:szCs w:val="21"/>
        </w:rPr>
        <w:t>第二次重大疾病保险金，</w:t>
      </w:r>
      <w:r w:rsidRPr="000037DF">
        <w:rPr>
          <w:rFonts w:ascii="宋体" w:hAnsi="宋体" w:cs="宋体" w:hint="eastAsia"/>
          <w:kern w:val="0"/>
          <w:szCs w:val="21"/>
          <w:shd w:val="pct15" w:color="auto" w:fill="FFFFFF"/>
        </w:rPr>
        <w:t>本项保险责任终止</w:t>
      </w:r>
      <w:r>
        <w:rPr>
          <w:rFonts w:ascii="宋体" w:hAnsi="宋体" w:cs="宋体" w:hint="eastAsia"/>
          <w:kern w:val="0"/>
          <w:szCs w:val="21"/>
        </w:rPr>
        <w:t>。</w:t>
      </w:r>
    </w:p>
    <w:p w14:paraId="7DA0CEB1" w14:textId="77777777" w:rsidR="008F265F" w:rsidRDefault="00A542E4">
      <w:pPr>
        <w:spacing w:beforeLines="50" w:before="156"/>
        <w:ind w:firstLineChars="200" w:firstLine="420"/>
        <w:rPr>
          <w:rFonts w:ascii="宋体" w:hAnsi="宋体" w:cs="宋体"/>
          <w:kern w:val="0"/>
          <w:szCs w:val="21"/>
        </w:rPr>
      </w:pPr>
      <w:r>
        <w:rPr>
          <w:rFonts w:ascii="宋体" w:hAnsi="宋体" w:cs="宋体"/>
          <w:kern w:val="0"/>
          <w:szCs w:val="21"/>
        </w:rPr>
        <w:t>2.</w:t>
      </w:r>
      <w:r>
        <w:rPr>
          <w:rFonts w:ascii="宋体" w:hAnsi="宋体" w:cs="宋体" w:hint="eastAsia"/>
          <w:kern w:val="0"/>
          <w:szCs w:val="21"/>
        </w:rPr>
        <w:t>第三次重大疾病保险金</w:t>
      </w:r>
    </w:p>
    <w:p w14:paraId="1D266978" w14:textId="60E6E2BB"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若被保险人由我们认可的医院的专科医生第二次确诊发生本主险合同</w:t>
      </w:r>
      <w:r>
        <w:rPr>
          <w:rFonts w:ascii="宋体" w:hAnsi="宋体" w:cs="宋体" w:hint="eastAsia"/>
          <w:kern w:val="0"/>
          <w:szCs w:val="21"/>
        </w:rPr>
        <w:lastRenderedPageBreak/>
        <w:t>定义的重大疾病，且我们已针对该重大疾病给付了第二次重大疾病保险金，</w:t>
      </w:r>
      <w:r>
        <w:rPr>
          <w:rFonts w:cs="宋体" w:hint="eastAsia"/>
          <w:kern w:val="0"/>
          <w:szCs w:val="21"/>
        </w:rPr>
        <w:t>自</w:t>
      </w:r>
      <w:r>
        <w:rPr>
          <w:rFonts w:ascii="宋体" w:hAnsi="宋体" w:hint="eastAsia"/>
          <w:bCs/>
        </w:rPr>
        <w:t>该</w:t>
      </w:r>
      <w:r>
        <w:rPr>
          <w:rFonts w:ascii="宋体" w:hAnsi="宋体" w:cs="宋体"/>
          <w:kern w:val="0"/>
          <w:szCs w:val="21"/>
        </w:rPr>
        <w:t>重大疾病确诊日</w:t>
      </w:r>
      <w:r>
        <w:rPr>
          <w:rFonts w:ascii="宋体" w:hAnsi="宋体" w:cs="宋体" w:hint="eastAsia"/>
          <w:kern w:val="0"/>
          <w:szCs w:val="21"/>
        </w:rPr>
        <w:t>起</w:t>
      </w:r>
      <w:r w:rsidRPr="000037DF">
        <w:rPr>
          <w:rFonts w:ascii="宋体" w:hAnsi="宋体" w:cs="宋体"/>
          <w:kern w:val="0"/>
          <w:szCs w:val="21"/>
          <w:shd w:val="pct15" w:color="auto" w:fill="FFFFFF"/>
        </w:rPr>
        <w:t>满一年</w:t>
      </w:r>
      <w:r w:rsidRPr="000037DF">
        <w:rPr>
          <w:rFonts w:ascii="宋体" w:hAnsi="宋体" w:cs="宋体" w:hint="eastAsia"/>
          <w:kern w:val="0"/>
          <w:szCs w:val="21"/>
          <w:shd w:val="pct15" w:color="auto" w:fill="FFFFFF"/>
        </w:rPr>
        <w:t>后</w:t>
      </w:r>
      <w:r>
        <w:rPr>
          <w:rFonts w:cs="宋体" w:hint="eastAsia"/>
          <w:kern w:val="0"/>
          <w:szCs w:val="21"/>
        </w:rPr>
        <w:t>，被保险人由我们认可的医院的专科医生初次确诊发生本主险合同定义的且与</w:t>
      </w:r>
      <w:r>
        <w:rPr>
          <w:rFonts w:ascii="宋体" w:hAnsi="宋体" w:hint="eastAsia"/>
          <w:bCs/>
        </w:rPr>
        <w:t>前述两次</w:t>
      </w:r>
      <w:r>
        <w:rPr>
          <w:rFonts w:ascii="宋体" w:hAnsi="宋体" w:cs="宋体"/>
          <w:kern w:val="0"/>
          <w:szCs w:val="21"/>
        </w:rPr>
        <w:t>重大疾病不同的其他重大疾病</w:t>
      </w:r>
      <w:r>
        <w:rPr>
          <w:rFonts w:ascii="宋体" w:hAnsi="宋体" w:cs="宋体" w:hint="eastAsia"/>
          <w:kern w:val="0"/>
          <w:szCs w:val="21"/>
        </w:rPr>
        <w:t>（无论一项或多项，按一项给付）</w:t>
      </w:r>
      <w:r>
        <w:rPr>
          <w:rFonts w:cs="宋体" w:hint="eastAsia"/>
          <w:kern w:val="0"/>
          <w:szCs w:val="21"/>
        </w:rPr>
        <w:t>，</w:t>
      </w:r>
      <w:r>
        <w:rPr>
          <w:rFonts w:ascii="宋体" w:hAnsi="宋体" w:cs="宋体"/>
          <w:kern w:val="0"/>
          <w:szCs w:val="21"/>
        </w:rPr>
        <w:t>我们按本主险合同基本保险金额的</w:t>
      </w:r>
      <w:r>
        <w:rPr>
          <w:rFonts w:ascii="宋体" w:hAnsi="宋体" w:cs="宋体"/>
          <w:b/>
          <w:kern w:val="0"/>
          <w:szCs w:val="21"/>
        </w:rPr>
        <w:t>130%</w:t>
      </w:r>
      <w:r>
        <w:rPr>
          <w:rFonts w:ascii="宋体" w:hAnsi="宋体" w:cs="宋体"/>
          <w:kern w:val="0"/>
          <w:szCs w:val="21"/>
        </w:rPr>
        <w:t>给付</w:t>
      </w:r>
      <w:r>
        <w:rPr>
          <w:rFonts w:ascii="宋体" w:hAnsi="宋体" w:cs="宋体" w:hint="eastAsia"/>
          <w:kern w:val="0"/>
          <w:szCs w:val="21"/>
        </w:rPr>
        <w:t>第三次重大疾病保险金，</w:t>
      </w:r>
      <w:r w:rsidRPr="000037DF">
        <w:rPr>
          <w:rFonts w:ascii="宋体" w:hAnsi="宋体" w:cs="宋体" w:hint="eastAsia"/>
          <w:kern w:val="0"/>
          <w:szCs w:val="21"/>
          <w:shd w:val="pct15" w:color="auto" w:fill="FFFFFF"/>
        </w:rPr>
        <w:t>本项保险责任终止</w:t>
      </w:r>
      <w:r>
        <w:rPr>
          <w:rFonts w:ascii="宋体" w:hAnsi="宋体" w:cs="宋体" w:hint="eastAsia"/>
          <w:kern w:val="0"/>
          <w:szCs w:val="21"/>
        </w:rPr>
        <w:t>。</w:t>
      </w:r>
    </w:p>
    <w:p w14:paraId="65A8DC29" w14:textId="77777777" w:rsidR="008F265F" w:rsidRDefault="00A542E4">
      <w:pPr>
        <w:spacing w:beforeLines="50" w:before="156"/>
        <w:ind w:firstLineChars="200" w:firstLine="420"/>
        <w:rPr>
          <w:rFonts w:ascii="宋体" w:hAnsi="宋体" w:cs="宋体"/>
          <w:kern w:val="0"/>
          <w:szCs w:val="21"/>
        </w:rPr>
      </w:pPr>
      <w:r>
        <w:rPr>
          <w:rFonts w:ascii="宋体" w:hAnsi="宋体" w:cs="宋体"/>
          <w:kern w:val="0"/>
          <w:szCs w:val="21"/>
        </w:rPr>
        <w:t>3.</w:t>
      </w:r>
      <w:r>
        <w:rPr>
          <w:rFonts w:ascii="宋体" w:hAnsi="宋体" w:cs="宋体" w:hint="eastAsia"/>
          <w:kern w:val="0"/>
          <w:szCs w:val="21"/>
        </w:rPr>
        <w:t>第四次重大疾病保险金</w:t>
      </w:r>
    </w:p>
    <w:p w14:paraId="1A12FA3F" w14:textId="1495064A"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若被保险人由我们认可的医院的专科医生第三次确诊发生本主险合同定义的重大疾病，且我们已针对该重大疾病给付了第三次重大疾病保险金，</w:t>
      </w:r>
      <w:r>
        <w:rPr>
          <w:rFonts w:cs="宋体" w:hint="eastAsia"/>
          <w:kern w:val="0"/>
          <w:szCs w:val="21"/>
        </w:rPr>
        <w:t>自</w:t>
      </w:r>
      <w:r>
        <w:rPr>
          <w:rFonts w:ascii="宋体" w:hAnsi="宋体" w:hint="eastAsia"/>
          <w:bCs/>
        </w:rPr>
        <w:t>该</w:t>
      </w:r>
      <w:r>
        <w:rPr>
          <w:rFonts w:ascii="宋体" w:hAnsi="宋体" w:cs="宋体"/>
          <w:kern w:val="0"/>
          <w:szCs w:val="21"/>
        </w:rPr>
        <w:t>重大疾病确诊日</w:t>
      </w:r>
      <w:r>
        <w:rPr>
          <w:rFonts w:ascii="宋体" w:hAnsi="宋体" w:cs="宋体" w:hint="eastAsia"/>
          <w:kern w:val="0"/>
          <w:szCs w:val="21"/>
        </w:rPr>
        <w:t>起</w:t>
      </w:r>
      <w:r w:rsidRPr="000037DF">
        <w:rPr>
          <w:rFonts w:ascii="宋体" w:hAnsi="宋体" w:cs="宋体"/>
          <w:kern w:val="0"/>
          <w:szCs w:val="21"/>
          <w:shd w:val="pct15" w:color="auto" w:fill="FFFFFF"/>
        </w:rPr>
        <w:t>满一年</w:t>
      </w:r>
      <w:r w:rsidRPr="000037DF">
        <w:rPr>
          <w:rFonts w:ascii="宋体" w:hAnsi="宋体" w:cs="宋体" w:hint="eastAsia"/>
          <w:kern w:val="0"/>
          <w:szCs w:val="21"/>
          <w:shd w:val="pct15" w:color="auto" w:fill="FFFFFF"/>
        </w:rPr>
        <w:t>后</w:t>
      </w:r>
      <w:r>
        <w:rPr>
          <w:rFonts w:cs="宋体" w:hint="eastAsia"/>
          <w:kern w:val="0"/>
          <w:szCs w:val="21"/>
        </w:rPr>
        <w:t>，被保险人由我们认可的医院的专科医生初次确诊发生本主险合同定义的且与</w:t>
      </w:r>
      <w:r>
        <w:rPr>
          <w:rFonts w:ascii="宋体" w:hAnsi="宋体" w:hint="eastAsia"/>
          <w:bCs/>
        </w:rPr>
        <w:t>前述三次</w:t>
      </w:r>
      <w:r>
        <w:rPr>
          <w:rFonts w:ascii="宋体" w:hAnsi="宋体" w:cs="宋体"/>
          <w:kern w:val="0"/>
          <w:szCs w:val="21"/>
        </w:rPr>
        <w:t>重大疾病不同的其他重大疾病</w:t>
      </w:r>
      <w:r>
        <w:rPr>
          <w:rFonts w:ascii="宋体" w:hAnsi="宋体" w:cs="宋体" w:hint="eastAsia"/>
          <w:kern w:val="0"/>
          <w:szCs w:val="21"/>
        </w:rPr>
        <w:t>（无论一项或多项，按一项给付）</w:t>
      </w:r>
      <w:r>
        <w:rPr>
          <w:rFonts w:cs="宋体" w:hint="eastAsia"/>
          <w:kern w:val="0"/>
          <w:szCs w:val="21"/>
        </w:rPr>
        <w:t>，</w:t>
      </w:r>
      <w:r>
        <w:rPr>
          <w:rFonts w:ascii="宋体" w:hAnsi="宋体" w:cs="宋体"/>
          <w:kern w:val="0"/>
          <w:szCs w:val="21"/>
        </w:rPr>
        <w:t>我们按本主险合同基本保险金额的</w:t>
      </w:r>
      <w:r>
        <w:rPr>
          <w:rFonts w:ascii="宋体" w:hAnsi="宋体" w:cs="宋体"/>
          <w:b/>
          <w:kern w:val="0"/>
          <w:szCs w:val="21"/>
        </w:rPr>
        <w:t>150%</w:t>
      </w:r>
      <w:r>
        <w:rPr>
          <w:rFonts w:ascii="宋体" w:hAnsi="宋体" w:cs="宋体"/>
          <w:kern w:val="0"/>
          <w:szCs w:val="21"/>
        </w:rPr>
        <w:t>给付</w:t>
      </w:r>
      <w:r>
        <w:rPr>
          <w:rFonts w:ascii="宋体" w:hAnsi="宋体" w:cs="宋体" w:hint="eastAsia"/>
          <w:kern w:val="0"/>
          <w:szCs w:val="21"/>
        </w:rPr>
        <w:t>第四次重大疾病保险金，</w:t>
      </w:r>
      <w:r w:rsidRPr="000037DF">
        <w:rPr>
          <w:rFonts w:ascii="宋体" w:hAnsi="宋体" w:cs="宋体" w:hint="eastAsia"/>
          <w:kern w:val="0"/>
          <w:szCs w:val="21"/>
          <w:shd w:val="pct15" w:color="auto" w:fill="FFFFFF"/>
        </w:rPr>
        <w:t>本项保险责任终止</w:t>
      </w:r>
      <w:r>
        <w:rPr>
          <w:rFonts w:ascii="宋体" w:hAnsi="宋体" w:cs="宋体" w:hint="eastAsia"/>
          <w:kern w:val="0"/>
          <w:szCs w:val="21"/>
        </w:rPr>
        <w:t>。</w:t>
      </w:r>
    </w:p>
    <w:p w14:paraId="65170532" w14:textId="77777777"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我们提供保障的重大疾病共有137种，名称见附表一，具体释义见本主险合同“第三十一条 重大疾病的定义”。</w:t>
      </w:r>
    </w:p>
    <w:p w14:paraId="3F2F45DA" w14:textId="77777777"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（三）“恶性肿瘤——重度”关爱保险金</w:t>
      </w:r>
    </w:p>
    <w:p w14:paraId="13978B3F"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本主险合同的“恶性肿瘤——重度”关爱保险金责任由第一次“恶性肿瘤——重度”关爱保险金、第二次“恶性肿瘤——重度”关爱保险金、第三次“恶性肿瘤——重度”关爱保险金、第四次“恶性肿瘤——重度”关爱保险金及第五次“恶性肿瘤——重度”关爱保险金组成。</w:t>
      </w:r>
    </w:p>
    <w:p w14:paraId="37C5BB91"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“恶性肿瘤——重度”是指本主险合同“第三十一条</w:t>
      </w:r>
      <w:r>
        <w:rPr>
          <w:rFonts w:ascii="宋体" w:hAnsi="宋体" w:cs="宋体"/>
          <w:kern w:val="0"/>
          <w:szCs w:val="21"/>
        </w:rPr>
        <w:t xml:space="preserve"> </w:t>
      </w:r>
      <w:r>
        <w:rPr>
          <w:rFonts w:ascii="宋体" w:hAnsi="宋体" w:cs="宋体" w:hint="eastAsia"/>
          <w:kern w:val="0"/>
          <w:szCs w:val="21"/>
        </w:rPr>
        <w:t>重大疾病的定义”中的“恶性肿瘤——重度”。</w:t>
      </w:r>
    </w:p>
    <w:p w14:paraId="37B96EB0" w14:textId="77777777"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lastRenderedPageBreak/>
        <w:t>1</w:t>
      </w:r>
      <w:r>
        <w:rPr>
          <w:rFonts w:ascii="宋体" w:hAnsi="宋体" w:cs="宋体"/>
          <w:kern w:val="0"/>
          <w:szCs w:val="21"/>
        </w:rPr>
        <w:t>.</w:t>
      </w:r>
      <w:r>
        <w:rPr>
          <w:rFonts w:ascii="宋体" w:hAnsi="宋体" w:cs="宋体" w:hint="eastAsia"/>
          <w:kern w:val="0"/>
          <w:szCs w:val="21"/>
        </w:rPr>
        <w:t>第一次“恶性肿瘤——重度”关爱保险金</w:t>
      </w:r>
    </w:p>
    <w:p w14:paraId="5FD81493" w14:textId="341EFD01" w:rsidR="008F265F" w:rsidRDefault="00A542E4">
      <w:pPr>
        <w:spacing w:beforeLines="50" w:before="156"/>
        <w:ind w:firstLineChars="200" w:firstLine="420"/>
        <w:rPr>
          <w:rFonts w:ascii="宋体" w:hAnsi="宋体" w:cs="宋体"/>
          <w:kern w:val="0"/>
          <w:szCs w:val="21"/>
        </w:rPr>
      </w:pPr>
      <w:r>
        <w:rPr>
          <w:rFonts w:ascii="宋体" w:hAnsi="宋体" w:cs="宋体"/>
          <w:kern w:val="0"/>
          <w:szCs w:val="21"/>
        </w:rPr>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本主险合同定义的“恶性肿瘤——重度”之外的其他重大疾病，且我们已针对该重大疾病给付了</w:t>
      </w:r>
      <w:r>
        <w:rPr>
          <w:rFonts w:ascii="宋体" w:hAnsi="宋体" w:cs="宋体"/>
          <w:kern w:val="0"/>
          <w:szCs w:val="21"/>
        </w:rPr>
        <w:t>重大疾病保险金，</w:t>
      </w:r>
      <w:r>
        <w:rPr>
          <w:rFonts w:ascii="宋体" w:hAnsi="宋体" w:cs="宋体" w:hint="eastAsia"/>
          <w:kern w:val="0"/>
          <w:szCs w:val="21"/>
        </w:rPr>
        <w:t>自该重大疾病确诊日起</w:t>
      </w:r>
      <w:r w:rsidRPr="003B685F">
        <w:rPr>
          <w:rFonts w:ascii="宋体" w:hAnsi="宋体" w:cs="宋体" w:hint="eastAsia"/>
          <w:kern w:val="0"/>
          <w:szCs w:val="21"/>
          <w:shd w:val="pct15" w:color="auto" w:fill="FFFFFF"/>
        </w:rPr>
        <w:t>满</w:t>
      </w:r>
      <w:r w:rsidRPr="003B685F">
        <w:rPr>
          <w:rFonts w:ascii="宋体" w:hAnsi="宋体" w:cs="宋体"/>
          <w:kern w:val="0"/>
          <w:szCs w:val="21"/>
          <w:shd w:val="pct15" w:color="auto" w:fill="FFFFFF"/>
        </w:rPr>
        <w:t>一百八十日</w:t>
      </w:r>
      <w:r w:rsidRPr="003B685F">
        <w:rPr>
          <w:rFonts w:ascii="宋体" w:hAnsi="宋体" w:cs="宋体" w:hint="eastAsia"/>
          <w:kern w:val="0"/>
          <w:szCs w:val="21"/>
          <w:shd w:val="pct15" w:color="auto" w:fill="FFFFFF"/>
        </w:rPr>
        <w:t>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本主险合同定义的“恶性肿瘤——重度”，</w:t>
      </w:r>
      <w:r>
        <w:rPr>
          <w:rFonts w:ascii="宋体" w:hAnsi="宋体" w:cs="宋体"/>
          <w:kern w:val="0"/>
          <w:szCs w:val="21"/>
        </w:rPr>
        <w:t>我们按本主险合同基本保险金额的</w:t>
      </w:r>
      <w:r>
        <w:rPr>
          <w:rFonts w:ascii="宋体" w:hAnsi="宋体" w:cs="宋体"/>
          <w:b/>
          <w:kern w:val="0"/>
          <w:szCs w:val="21"/>
        </w:rPr>
        <w:t>120%</w:t>
      </w:r>
      <w:r>
        <w:rPr>
          <w:rFonts w:ascii="宋体" w:hAnsi="宋体" w:cs="宋体"/>
          <w:kern w:val="0"/>
          <w:szCs w:val="21"/>
        </w:rPr>
        <w:t>给付</w:t>
      </w:r>
      <w:r>
        <w:rPr>
          <w:rFonts w:ascii="宋体" w:hAnsi="宋体" w:cs="宋体" w:hint="eastAsia"/>
          <w:kern w:val="0"/>
          <w:szCs w:val="21"/>
        </w:rPr>
        <w:t>第一次“恶性肿瘤——重度”关爱保险金</w:t>
      </w:r>
      <w:r>
        <w:rPr>
          <w:rFonts w:ascii="宋体" w:hAnsi="宋体" w:cs="宋体"/>
          <w:kern w:val="0"/>
          <w:szCs w:val="21"/>
        </w:rPr>
        <w:t>，</w:t>
      </w:r>
      <w:r w:rsidRPr="003B685F">
        <w:rPr>
          <w:rFonts w:ascii="宋体" w:hAnsi="宋体" w:cs="宋体" w:hint="eastAsia"/>
          <w:kern w:val="0"/>
          <w:szCs w:val="21"/>
          <w:shd w:val="pct15" w:color="auto" w:fill="FFFFFF"/>
        </w:rPr>
        <w:t>本项保险责任终止</w:t>
      </w:r>
      <w:r>
        <w:rPr>
          <w:rFonts w:ascii="宋体" w:hAnsi="宋体"/>
          <w:szCs w:val="21"/>
        </w:rPr>
        <w:t>。</w:t>
      </w:r>
    </w:p>
    <w:p w14:paraId="5C78D4CF" w14:textId="23DCEB14" w:rsidR="008F265F" w:rsidRDefault="00A542E4">
      <w:pPr>
        <w:spacing w:beforeLines="50" w:before="156"/>
        <w:ind w:firstLineChars="200" w:firstLine="420"/>
        <w:rPr>
          <w:rFonts w:ascii="宋体" w:hAnsi="宋体" w:cs="宋体"/>
          <w:kern w:val="0"/>
          <w:szCs w:val="21"/>
          <w:shd w:val="pct10" w:color="auto" w:fill="FFFFFF"/>
        </w:rPr>
      </w:pPr>
      <w:r>
        <w:rPr>
          <w:rFonts w:ascii="宋体" w:hAnsi="宋体" w:cs="宋体"/>
          <w:kern w:val="0"/>
          <w:szCs w:val="21"/>
        </w:rPr>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本主险合同定义的“恶性肿瘤——重度”，且我们已针对该“恶性肿瘤——重度”给付了</w:t>
      </w:r>
      <w:r>
        <w:rPr>
          <w:rFonts w:ascii="宋体" w:hAnsi="宋体" w:cs="宋体"/>
          <w:kern w:val="0"/>
          <w:szCs w:val="21"/>
        </w:rPr>
        <w:t>重大疾病保险金，自该</w:t>
      </w:r>
      <w:r>
        <w:rPr>
          <w:rFonts w:ascii="宋体" w:hAnsi="宋体" w:cs="宋体" w:hint="eastAsia"/>
          <w:kern w:val="0"/>
          <w:szCs w:val="21"/>
        </w:rPr>
        <w:t>“恶性肿瘤——重度”确诊日起</w:t>
      </w:r>
      <w:r w:rsidRPr="003B685F">
        <w:rPr>
          <w:rFonts w:ascii="宋体" w:hAnsi="宋体" w:cs="宋体" w:hint="eastAsia"/>
          <w:kern w:val="0"/>
          <w:szCs w:val="21"/>
          <w:shd w:val="pct15" w:color="auto" w:fill="FFFFFF"/>
        </w:rPr>
        <w:t>满三年后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的专科医生再次</w:t>
      </w:r>
      <w:r>
        <w:rPr>
          <w:rFonts w:ascii="宋体" w:hAnsi="宋体" w:cs="宋体"/>
          <w:kern w:val="0"/>
          <w:szCs w:val="21"/>
        </w:rPr>
        <w:t>确诊发生</w:t>
      </w:r>
      <w:r>
        <w:rPr>
          <w:rFonts w:ascii="宋体" w:hAnsi="宋体" w:cs="宋体" w:hint="eastAsia"/>
          <w:kern w:val="0"/>
          <w:szCs w:val="21"/>
        </w:rPr>
        <w:t>本主险合同定义的“恶性肿瘤——重度”，</w:t>
      </w:r>
      <w:r>
        <w:rPr>
          <w:rFonts w:ascii="宋体" w:hAnsi="宋体" w:cs="宋体"/>
          <w:kern w:val="0"/>
          <w:szCs w:val="21"/>
        </w:rPr>
        <w:t>我们按本主险合同基本保险金额的</w:t>
      </w:r>
      <w:r>
        <w:rPr>
          <w:rFonts w:ascii="宋体" w:hAnsi="宋体" w:cs="宋体"/>
          <w:b/>
          <w:kern w:val="0"/>
          <w:szCs w:val="21"/>
        </w:rPr>
        <w:t>120%</w:t>
      </w:r>
      <w:r>
        <w:rPr>
          <w:rFonts w:ascii="宋体" w:hAnsi="宋体" w:cs="宋体"/>
          <w:kern w:val="0"/>
          <w:szCs w:val="21"/>
        </w:rPr>
        <w:t>给付</w:t>
      </w:r>
      <w:r>
        <w:rPr>
          <w:rFonts w:ascii="宋体" w:hAnsi="宋体" w:cs="宋体" w:hint="eastAsia"/>
          <w:kern w:val="0"/>
          <w:szCs w:val="21"/>
        </w:rPr>
        <w:t>第一次“恶性肿瘤——重度”关爱保险金</w:t>
      </w:r>
      <w:r>
        <w:rPr>
          <w:rFonts w:ascii="宋体" w:hAnsi="宋体" w:cs="宋体"/>
          <w:kern w:val="0"/>
          <w:szCs w:val="21"/>
        </w:rPr>
        <w:t>，</w:t>
      </w:r>
      <w:r w:rsidRPr="003B685F">
        <w:rPr>
          <w:rFonts w:ascii="宋体" w:hAnsi="宋体" w:cs="宋体" w:hint="eastAsia"/>
          <w:kern w:val="0"/>
          <w:szCs w:val="21"/>
          <w:shd w:val="pct15" w:color="auto" w:fill="FFFFFF"/>
        </w:rPr>
        <w:t>本项保险责任终止</w:t>
      </w:r>
      <w:r>
        <w:rPr>
          <w:rFonts w:ascii="宋体" w:hAnsi="宋体"/>
          <w:szCs w:val="21"/>
        </w:rPr>
        <w:t>。</w:t>
      </w:r>
    </w:p>
    <w:p w14:paraId="7960BDF5"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再次确诊的“恶性肿瘤——重度”需满足以下条件之一：</w:t>
      </w:r>
    </w:p>
    <w:p w14:paraId="0F6448FB"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b/>
          <w:kern w:val="0"/>
          <w:szCs w:val="21"/>
        </w:rPr>
        <w:t>新发恶性肿瘤</w:t>
      </w:r>
      <w:r>
        <w:rPr>
          <w:rStyle w:val="af3"/>
          <w:rFonts w:ascii="宋体" w:hAnsi="宋体" w:cs="宋体"/>
          <w:b/>
          <w:kern w:val="0"/>
          <w:szCs w:val="21"/>
        </w:rPr>
        <w:footnoteReference w:id="11"/>
      </w:r>
      <w:r>
        <w:rPr>
          <w:rFonts w:ascii="宋体" w:hAnsi="宋体" w:cs="宋体" w:hint="eastAsia"/>
          <w:kern w:val="0"/>
          <w:szCs w:val="21"/>
        </w:rPr>
        <w:t>；</w:t>
      </w:r>
    </w:p>
    <w:p w14:paraId="4DF4DD40"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b/>
          <w:kern w:val="0"/>
          <w:szCs w:val="21"/>
        </w:rPr>
        <w:t>恶性肿瘤复发</w:t>
      </w:r>
      <w:r>
        <w:rPr>
          <w:rStyle w:val="af3"/>
          <w:rFonts w:ascii="宋体" w:hAnsi="宋体" w:cs="宋体"/>
          <w:b/>
          <w:kern w:val="0"/>
          <w:szCs w:val="21"/>
        </w:rPr>
        <w:footnoteReference w:id="12"/>
      </w:r>
      <w:r>
        <w:rPr>
          <w:rFonts w:ascii="宋体" w:hAnsi="宋体" w:cs="宋体" w:hint="eastAsia"/>
          <w:kern w:val="0"/>
          <w:szCs w:val="21"/>
        </w:rPr>
        <w:t>；</w:t>
      </w:r>
    </w:p>
    <w:p w14:paraId="29A3B0C8"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lastRenderedPageBreak/>
        <w:t>（</w:t>
      </w:r>
      <w:r>
        <w:rPr>
          <w:rFonts w:ascii="宋体" w:hAnsi="宋体" w:cs="宋体"/>
          <w:kern w:val="0"/>
          <w:szCs w:val="21"/>
        </w:rPr>
        <w:t>3）</w:t>
      </w:r>
      <w:r>
        <w:rPr>
          <w:rFonts w:ascii="宋体" w:hAnsi="宋体" w:cs="宋体" w:hint="eastAsia"/>
          <w:b/>
          <w:kern w:val="0"/>
          <w:szCs w:val="21"/>
        </w:rPr>
        <w:t>恶性肿瘤转移或扩散</w:t>
      </w:r>
      <w:r>
        <w:rPr>
          <w:rStyle w:val="af3"/>
          <w:rFonts w:ascii="宋体" w:hAnsi="宋体" w:cs="宋体"/>
          <w:b/>
          <w:kern w:val="0"/>
          <w:szCs w:val="21"/>
        </w:rPr>
        <w:footnoteReference w:id="13"/>
      </w:r>
      <w:r>
        <w:rPr>
          <w:rFonts w:ascii="宋体" w:hAnsi="宋体" w:cs="宋体" w:hint="eastAsia"/>
          <w:kern w:val="0"/>
          <w:szCs w:val="21"/>
        </w:rPr>
        <w:t>；</w:t>
      </w:r>
    </w:p>
    <w:p w14:paraId="2F9A1073"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b/>
          <w:kern w:val="0"/>
          <w:szCs w:val="21"/>
        </w:rPr>
        <w:t>恶性肿瘤持续存在</w:t>
      </w:r>
      <w:r>
        <w:rPr>
          <w:rStyle w:val="af3"/>
          <w:rFonts w:ascii="宋体" w:hAnsi="宋体" w:cs="宋体"/>
          <w:b/>
          <w:kern w:val="0"/>
          <w:szCs w:val="21"/>
        </w:rPr>
        <w:footnoteReference w:id="14"/>
      </w:r>
      <w:r>
        <w:rPr>
          <w:rFonts w:ascii="宋体" w:hAnsi="宋体" w:cs="宋体" w:hint="eastAsia"/>
          <w:kern w:val="0"/>
          <w:szCs w:val="21"/>
        </w:rPr>
        <w:t>。</w:t>
      </w:r>
    </w:p>
    <w:p w14:paraId="75566559" w14:textId="77777777"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第二次“恶性肿瘤——重度”关爱保险金</w:t>
      </w:r>
    </w:p>
    <w:p w14:paraId="0E7B10FB" w14:textId="6D331E54" w:rsidR="008F265F" w:rsidRDefault="00A542E4">
      <w:pPr>
        <w:spacing w:beforeLines="50" w:before="156"/>
        <w:ind w:firstLineChars="200" w:firstLine="420"/>
        <w:rPr>
          <w:rFonts w:ascii="宋体" w:hAnsi="宋体" w:cs="宋体"/>
          <w:kern w:val="0"/>
          <w:szCs w:val="21"/>
          <w:shd w:val="pct10" w:color="auto" w:fill="FFFFFF"/>
        </w:rPr>
      </w:pPr>
      <w:r>
        <w:rPr>
          <w:rFonts w:ascii="宋体" w:hAnsi="宋体" w:cs="宋体"/>
          <w:kern w:val="0"/>
          <w:szCs w:val="21"/>
        </w:rPr>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w:t>
      </w:r>
      <w:r>
        <w:rPr>
          <w:rFonts w:ascii="宋体" w:hAnsi="宋体" w:cs="宋体"/>
          <w:kern w:val="0"/>
          <w:szCs w:val="21"/>
        </w:rPr>
        <w:t>确诊发生</w:t>
      </w:r>
      <w:r>
        <w:rPr>
          <w:rFonts w:ascii="宋体" w:hAnsi="宋体" w:cs="宋体" w:hint="eastAsia"/>
          <w:kern w:val="0"/>
          <w:szCs w:val="21"/>
        </w:rPr>
        <w:t>本主险合同定义的“恶性肿瘤——重度”，且我们已针对该“恶性肿瘤——重度”给付了第一次“恶性肿瘤——重度”关爱保险金</w:t>
      </w:r>
      <w:r>
        <w:rPr>
          <w:rFonts w:ascii="宋体" w:hAnsi="宋体" w:cs="宋体"/>
          <w:kern w:val="0"/>
          <w:szCs w:val="21"/>
        </w:rPr>
        <w:t>，自该</w:t>
      </w:r>
      <w:r>
        <w:rPr>
          <w:rFonts w:ascii="宋体" w:hAnsi="宋体" w:cs="宋体" w:hint="eastAsia"/>
          <w:kern w:val="0"/>
          <w:szCs w:val="21"/>
        </w:rPr>
        <w:t>“恶性肿瘤——重度”确诊日起</w:t>
      </w:r>
      <w:r w:rsidRPr="003B685F">
        <w:rPr>
          <w:rFonts w:ascii="宋体" w:hAnsi="宋体" w:cs="宋体" w:hint="eastAsia"/>
          <w:kern w:val="0"/>
          <w:szCs w:val="21"/>
          <w:shd w:val="pct15" w:color="auto" w:fill="FFFFFF"/>
        </w:rPr>
        <w:t>满三年后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的专科医生再次</w:t>
      </w:r>
      <w:r>
        <w:rPr>
          <w:rFonts w:ascii="宋体" w:hAnsi="宋体" w:cs="宋体"/>
          <w:kern w:val="0"/>
          <w:szCs w:val="21"/>
        </w:rPr>
        <w:t>确诊发生</w:t>
      </w:r>
      <w:r>
        <w:rPr>
          <w:rFonts w:ascii="宋体" w:hAnsi="宋体" w:cs="宋体" w:hint="eastAsia"/>
          <w:kern w:val="0"/>
          <w:szCs w:val="21"/>
        </w:rPr>
        <w:t>本主险合同定义的“恶性肿瘤——重度”，</w:t>
      </w:r>
      <w:r>
        <w:rPr>
          <w:rFonts w:ascii="宋体" w:hAnsi="宋体" w:cs="宋体"/>
          <w:kern w:val="0"/>
          <w:szCs w:val="21"/>
        </w:rPr>
        <w:t>我们按本主险合同基本保险金额的</w:t>
      </w:r>
      <w:r w:rsidRPr="003B685F">
        <w:rPr>
          <w:rFonts w:ascii="宋体" w:hAnsi="宋体" w:cs="宋体"/>
          <w:kern w:val="0"/>
          <w:szCs w:val="21"/>
          <w:shd w:val="pct15" w:color="auto" w:fill="FFFFFF"/>
        </w:rPr>
        <w:t>80%</w:t>
      </w:r>
      <w:r>
        <w:rPr>
          <w:rFonts w:ascii="宋体" w:hAnsi="宋体" w:cs="宋体"/>
          <w:kern w:val="0"/>
          <w:szCs w:val="21"/>
        </w:rPr>
        <w:t>给付</w:t>
      </w:r>
      <w:r>
        <w:rPr>
          <w:rFonts w:ascii="宋体" w:hAnsi="宋体" w:cs="宋体" w:hint="eastAsia"/>
          <w:kern w:val="0"/>
          <w:szCs w:val="21"/>
        </w:rPr>
        <w:t>第二次“恶性肿瘤——重度”关爱保险金</w:t>
      </w:r>
      <w:r>
        <w:rPr>
          <w:rFonts w:ascii="宋体" w:hAnsi="宋体" w:cs="宋体"/>
          <w:kern w:val="0"/>
          <w:szCs w:val="21"/>
        </w:rPr>
        <w:t>，</w:t>
      </w:r>
      <w:r w:rsidRPr="003B685F">
        <w:rPr>
          <w:rFonts w:ascii="宋体" w:hAnsi="宋体" w:cs="宋体" w:hint="eastAsia"/>
          <w:kern w:val="0"/>
          <w:szCs w:val="21"/>
          <w:shd w:val="pct15" w:color="auto" w:fill="FFFFFF"/>
        </w:rPr>
        <w:t>本项保险责任终止</w:t>
      </w:r>
      <w:r>
        <w:rPr>
          <w:rFonts w:ascii="宋体" w:hAnsi="宋体"/>
          <w:szCs w:val="21"/>
        </w:rPr>
        <w:t>。</w:t>
      </w:r>
    </w:p>
    <w:p w14:paraId="22471439"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再次确诊的“恶性肿瘤——重度”需满足以下条件之一：</w:t>
      </w:r>
    </w:p>
    <w:p w14:paraId="1BDF9A89"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新发恶性肿瘤；</w:t>
      </w:r>
    </w:p>
    <w:p w14:paraId="6C384CB6"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恶性肿瘤复发；</w:t>
      </w:r>
    </w:p>
    <w:p w14:paraId="46E3E53E"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恶性肿瘤转移或扩散；</w:t>
      </w:r>
    </w:p>
    <w:p w14:paraId="2FDE5092"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恶性肿瘤持续存在。</w:t>
      </w:r>
    </w:p>
    <w:p w14:paraId="7EC5AABB" w14:textId="77777777"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第三次“恶性肿瘤——重度”关爱保险金</w:t>
      </w:r>
    </w:p>
    <w:p w14:paraId="0033C2E5" w14:textId="5D1F61F8" w:rsidR="008F265F" w:rsidRDefault="00A542E4">
      <w:pPr>
        <w:spacing w:beforeLines="50" w:before="156"/>
        <w:ind w:firstLineChars="200" w:firstLine="420"/>
        <w:rPr>
          <w:rFonts w:ascii="宋体" w:hAnsi="宋体" w:cs="宋体"/>
          <w:kern w:val="0"/>
          <w:szCs w:val="21"/>
          <w:shd w:val="pct10" w:color="auto" w:fill="FFFFFF"/>
        </w:rPr>
      </w:pPr>
      <w:r>
        <w:rPr>
          <w:rFonts w:ascii="宋体" w:hAnsi="宋体" w:cs="宋体"/>
          <w:kern w:val="0"/>
          <w:szCs w:val="21"/>
        </w:rPr>
        <w:lastRenderedPageBreak/>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w:t>
      </w:r>
      <w:r>
        <w:rPr>
          <w:rFonts w:ascii="宋体" w:hAnsi="宋体" w:cs="宋体"/>
          <w:kern w:val="0"/>
          <w:szCs w:val="21"/>
        </w:rPr>
        <w:t>确诊发生</w:t>
      </w:r>
      <w:r>
        <w:rPr>
          <w:rFonts w:ascii="宋体" w:hAnsi="宋体" w:cs="宋体" w:hint="eastAsia"/>
          <w:kern w:val="0"/>
          <w:szCs w:val="21"/>
        </w:rPr>
        <w:t>本主险合同定义的“恶性肿瘤——重度”，且我们已针对该“恶性肿瘤——重度”给付了第二次“恶性肿瘤——重度”关爱保险金</w:t>
      </w:r>
      <w:r>
        <w:rPr>
          <w:rFonts w:ascii="宋体" w:hAnsi="宋体" w:cs="宋体"/>
          <w:kern w:val="0"/>
          <w:szCs w:val="21"/>
        </w:rPr>
        <w:t>，自该</w:t>
      </w:r>
      <w:r>
        <w:rPr>
          <w:rFonts w:ascii="宋体" w:hAnsi="宋体" w:cs="宋体" w:hint="eastAsia"/>
          <w:kern w:val="0"/>
          <w:szCs w:val="21"/>
        </w:rPr>
        <w:t>“恶性肿瘤——重度”确诊日起</w:t>
      </w:r>
      <w:r w:rsidRPr="003B685F">
        <w:rPr>
          <w:rFonts w:ascii="宋体" w:hAnsi="宋体" w:cs="宋体" w:hint="eastAsia"/>
          <w:kern w:val="0"/>
          <w:szCs w:val="21"/>
          <w:shd w:val="pct15" w:color="auto" w:fill="FFFFFF"/>
        </w:rPr>
        <w:t>满三年后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的专科医生再次</w:t>
      </w:r>
      <w:r>
        <w:rPr>
          <w:rFonts w:ascii="宋体" w:hAnsi="宋体" w:cs="宋体"/>
          <w:kern w:val="0"/>
          <w:szCs w:val="21"/>
        </w:rPr>
        <w:t>确诊发生</w:t>
      </w:r>
      <w:r>
        <w:rPr>
          <w:rFonts w:ascii="宋体" w:hAnsi="宋体" w:cs="宋体" w:hint="eastAsia"/>
          <w:kern w:val="0"/>
          <w:szCs w:val="21"/>
        </w:rPr>
        <w:t>本主险合同定义的“恶性肿瘤——重度”，</w:t>
      </w:r>
      <w:r>
        <w:rPr>
          <w:rFonts w:ascii="宋体" w:hAnsi="宋体" w:cs="宋体"/>
          <w:kern w:val="0"/>
          <w:szCs w:val="21"/>
        </w:rPr>
        <w:t>我们按本主险合同基本保险金额的</w:t>
      </w:r>
      <w:r w:rsidRPr="003B685F">
        <w:rPr>
          <w:rFonts w:ascii="宋体" w:hAnsi="宋体" w:cs="宋体" w:hint="eastAsia"/>
          <w:kern w:val="0"/>
          <w:szCs w:val="21"/>
          <w:shd w:val="pct15" w:color="auto" w:fill="FFFFFF"/>
        </w:rPr>
        <w:t>5</w:t>
      </w:r>
      <w:r w:rsidRPr="003B685F">
        <w:rPr>
          <w:rFonts w:ascii="宋体" w:hAnsi="宋体" w:cs="宋体"/>
          <w:kern w:val="0"/>
          <w:szCs w:val="21"/>
          <w:shd w:val="pct15" w:color="auto" w:fill="FFFFFF"/>
        </w:rPr>
        <w:t>0%</w:t>
      </w:r>
      <w:r>
        <w:rPr>
          <w:rFonts w:ascii="宋体" w:hAnsi="宋体" w:cs="宋体"/>
          <w:kern w:val="0"/>
          <w:szCs w:val="21"/>
        </w:rPr>
        <w:t>给付</w:t>
      </w:r>
      <w:r>
        <w:rPr>
          <w:rFonts w:ascii="宋体" w:hAnsi="宋体" w:cs="宋体" w:hint="eastAsia"/>
          <w:kern w:val="0"/>
          <w:szCs w:val="21"/>
        </w:rPr>
        <w:t>第三次“恶性肿瘤——重度”关爱保险金</w:t>
      </w:r>
      <w:r>
        <w:rPr>
          <w:rFonts w:ascii="宋体" w:hAnsi="宋体" w:cs="宋体"/>
          <w:kern w:val="0"/>
          <w:szCs w:val="21"/>
        </w:rPr>
        <w:t>，</w:t>
      </w:r>
      <w:r w:rsidRPr="003B685F">
        <w:rPr>
          <w:rFonts w:ascii="宋体" w:hAnsi="宋体" w:cs="宋体" w:hint="eastAsia"/>
          <w:kern w:val="0"/>
          <w:szCs w:val="21"/>
          <w:shd w:val="pct15" w:color="auto" w:fill="FFFFFF"/>
        </w:rPr>
        <w:t>本项保险责任终止</w:t>
      </w:r>
      <w:r>
        <w:rPr>
          <w:rFonts w:ascii="宋体" w:hAnsi="宋体"/>
          <w:szCs w:val="21"/>
        </w:rPr>
        <w:t>。</w:t>
      </w:r>
    </w:p>
    <w:p w14:paraId="5CC88183"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再次确诊的“恶性肿瘤——重度”需满足条件：新发恶性肿瘤。</w:t>
      </w:r>
    </w:p>
    <w:p w14:paraId="131D72E2" w14:textId="77777777"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4.第四次“恶性肿瘤——重度”关爱保险金</w:t>
      </w:r>
    </w:p>
    <w:p w14:paraId="6BCD065D" w14:textId="17FE3ED6" w:rsidR="008F265F" w:rsidRDefault="00A542E4">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rPr>
        <w:t>若被保险人由我们认可的医院的专科医生确诊发生本主险合同定义的“恶性肿瘤——重度”，且我们已针对该“恶性肿瘤——重度”给付了第三次“恶性肿瘤——重度”关爱保险金，自该“恶性肿瘤——重度”确诊日起</w:t>
      </w:r>
      <w:r w:rsidRPr="003B685F">
        <w:rPr>
          <w:rFonts w:ascii="宋体" w:hAnsi="宋体" w:cs="宋体" w:hint="eastAsia"/>
          <w:kern w:val="0"/>
          <w:szCs w:val="21"/>
          <w:shd w:val="pct15" w:color="auto" w:fill="FFFFFF"/>
        </w:rPr>
        <w:t>满三年后</w:t>
      </w:r>
      <w:r>
        <w:rPr>
          <w:rFonts w:ascii="宋体" w:hAnsi="宋体" w:cs="宋体" w:hint="eastAsia"/>
          <w:kern w:val="0"/>
          <w:szCs w:val="21"/>
        </w:rPr>
        <w:t>，被保险人由我们认可的医院的专科医生再次确诊发生本主险合同定义的“恶性肿瘤——重度”，我们按本主险合同基本保险金额的</w:t>
      </w:r>
      <w:r w:rsidRPr="003B685F">
        <w:rPr>
          <w:rFonts w:ascii="宋体" w:hAnsi="宋体" w:cs="宋体" w:hint="eastAsia"/>
          <w:kern w:val="0"/>
          <w:szCs w:val="21"/>
          <w:shd w:val="pct15" w:color="auto" w:fill="FFFFFF"/>
        </w:rPr>
        <w:t>50%</w:t>
      </w:r>
      <w:r>
        <w:rPr>
          <w:rFonts w:ascii="宋体" w:hAnsi="宋体" w:cs="宋体" w:hint="eastAsia"/>
          <w:kern w:val="0"/>
          <w:szCs w:val="21"/>
        </w:rPr>
        <w:t>给付第四次“恶性肿瘤——重度”关爱保险金，</w:t>
      </w:r>
      <w:r w:rsidRPr="003B685F">
        <w:rPr>
          <w:rFonts w:ascii="宋体" w:hAnsi="宋体" w:cs="宋体" w:hint="eastAsia"/>
          <w:kern w:val="0"/>
          <w:szCs w:val="21"/>
          <w:shd w:val="pct15" w:color="auto" w:fill="FFFFFF"/>
        </w:rPr>
        <w:t>本项保险责任终止</w:t>
      </w:r>
      <w:r>
        <w:rPr>
          <w:rFonts w:ascii="宋体" w:hAnsi="宋体" w:hint="eastAsia"/>
          <w:szCs w:val="21"/>
        </w:rPr>
        <w:t>。</w:t>
      </w:r>
    </w:p>
    <w:p w14:paraId="337A1BD1"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再次确诊的“恶性肿瘤——重度”需满足条件：新发恶性肿瘤。</w:t>
      </w:r>
    </w:p>
    <w:p w14:paraId="6E89E87B" w14:textId="77777777"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5.第五次“恶性肿瘤——重度”关爱保险金</w:t>
      </w:r>
    </w:p>
    <w:p w14:paraId="3BA8A26E" w14:textId="0FBD661F" w:rsidR="008F265F" w:rsidRDefault="00A542E4">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rPr>
        <w:t>若被保险人由我们认可的医院的专科医生确诊发生本主险合同定义的“恶性肿瘤——重度”，且我们已针对该“恶性肿瘤——重度”给付了第四次“恶性肿瘤——重度”关爱保险金，自该“恶性肿瘤——重度”确诊日起</w:t>
      </w:r>
      <w:r w:rsidRPr="003B685F">
        <w:rPr>
          <w:rFonts w:ascii="宋体" w:hAnsi="宋体" w:cs="宋体" w:hint="eastAsia"/>
          <w:kern w:val="0"/>
          <w:szCs w:val="21"/>
          <w:shd w:val="pct15" w:color="auto" w:fill="FFFFFF"/>
        </w:rPr>
        <w:t>满三年后</w:t>
      </w:r>
      <w:r>
        <w:rPr>
          <w:rFonts w:ascii="宋体" w:hAnsi="宋体" w:cs="宋体" w:hint="eastAsia"/>
          <w:kern w:val="0"/>
          <w:szCs w:val="21"/>
        </w:rPr>
        <w:t>，被保险人由我们认可的医院的专科医生再次确诊发生本主险合同定义的“恶性肿瘤——重度”，我们按本主险合同基本保险金额的</w:t>
      </w:r>
      <w:r w:rsidRPr="003B685F">
        <w:rPr>
          <w:rFonts w:ascii="宋体" w:hAnsi="宋体" w:cs="宋体" w:hint="eastAsia"/>
          <w:kern w:val="0"/>
          <w:szCs w:val="21"/>
          <w:shd w:val="pct15" w:color="auto" w:fill="FFFFFF"/>
        </w:rPr>
        <w:t>50%</w:t>
      </w:r>
      <w:r>
        <w:rPr>
          <w:rFonts w:ascii="宋体" w:hAnsi="宋体" w:cs="宋体" w:hint="eastAsia"/>
          <w:kern w:val="0"/>
          <w:szCs w:val="21"/>
        </w:rPr>
        <w:t>给</w:t>
      </w:r>
      <w:r>
        <w:rPr>
          <w:rFonts w:ascii="宋体" w:hAnsi="宋体" w:cs="宋体" w:hint="eastAsia"/>
          <w:kern w:val="0"/>
          <w:szCs w:val="21"/>
        </w:rPr>
        <w:lastRenderedPageBreak/>
        <w:t>付第五次“恶性肿瘤——重度”关爱保险金，</w:t>
      </w:r>
      <w:r w:rsidRPr="003B685F">
        <w:rPr>
          <w:rFonts w:ascii="宋体" w:hAnsi="宋体" w:cs="宋体" w:hint="eastAsia"/>
          <w:kern w:val="0"/>
          <w:szCs w:val="21"/>
          <w:shd w:val="pct15" w:color="auto" w:fill="FFFFFF"/>
        </w:rPr>
        <w:t>本项保险责任终止</w:t>
      </w:r>
      <w:r>
        <w:rPr>
          <w:rFonts w:ascii="宋体" w:hAnsi="宋体" w:hint="eastAsia"/>
          <w:szCs w:val="21"/>
        </w:rPr>
        <w:t>。</w:t>
      </w:r>
    </w:p>
    <w:p w14:paraId="4F6C3798"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再次确诊的“恶性肿瘤——重度”需满足条件：新发恶性肿瘤。</w:t>
      </w:r>
    </w:p>
    <w:p w14:paraId="059D8FB3" w14:textId="77777777" w:rsidR="008F265F" w:rsidRDefault="00A542E4">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（四）重症监护病房补贴保险金</w:t>
      </w:r>
    </w:p>
    <w:p w14:paraId="089E7277"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若被保险人在我们认可的医院接受治疗并入住重症监护病房，我们按以下公式给付重症监护病房补贴保险金：</w:t>
      </w:r>
    </w:p>
    <w:p w14:paraId="4199E7B1"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重症监护病房补贴保险金＝基本保险金额×</w:t>
      </w:r>
      <w:r w:rsidRPr="003B685F">
        <w:rPr>
          <w:rFonts w:ascii="宋体" w:hAnsi="宋体" w:cs="宋体"/>
          <w:kern w:val="0"/>
          <w:szCs w:val="21"/>
          <w:shd w:val="pct15" w:color="auto" w:fill="FFFFFF"/>
        </w:rPr>
        <w:t>0.1%</w:t>
      </w:r>
      <w:r>
        <w:rPr>
          <w:rFonts w:ascii="宋体" w:hAnsi="宋体" w:cs="宋体" w:hint="eastAsia"/>
          <w:kern w:val="0"/>
          <w:szCs w:val="21"/>
        </w:rPr>
        <w:t>×（被保险人</w:t>
      </w:r>
      <w:r>
        <w:rPr>
          <w:rFonts w:ascii="宋体" w:hAnsi="宋体" w:cs="宋体" w:hint="eastAsia"/>
          <w:b/>
          <w:kern w:val="0"/>
          <w:szCs w:val="21"/>
        </w:rPr>
        <w:t>实际入住重症监护病房天数</w:t>
      </w:r>
      <w:r>
        <w:rPr>
          <w:rStyle w:val="af3"/>
          <w:rFonts w:ascii="宋体" w:hAnsi="宋体" w:cs="宋体"/>
          <w:b/>
          <w:kern w:val="0"/>
          <w:szCs w:val="21"/>
        </w:rPr>
        <w:footnoteReference w:id="15"/>
      </w:r>
      <w:r>
        <w:rPr>
          <w:rFonts w:ascii="宋体" w:hAnsi="宋体" w:cs="宋体" w:hint="eastAsia"/>
          <w:kern w:val="0"/>
          <w:szCs w:val="21"/>
        </w:rPr>
        <w:t>-</w:t>
      </w:r>
      <w:r w:rsidRPr="003B685F">
        <w:rPr>
          <w:rFonts w:ascii="宋体" w:hAnsi="宋体" w:cs="宋体" w:hint="eastAsia"/>
          <w:kern w:val="0"/>
          <w:szCs w:val="21"/>
          <w:shd w:val="pct15" w:color="auto" w:fill="FFFFFF"/>
        </w:rPr>
        <w:t>免赔天数</w:t>
      </w:r>
      <w:r>
        <w:rPr>
          <w:rFonts w:ascii="宋体" w:hAnsi="宋体" w:cs="宋体" w:hint="eastAsia"/>
          <w:kern w:val="0"/>
          <w:szCs w:val="21"/>
        </w:rPr>
        <w:t>）</w:t>
      </w:r>
    </w:p>
    <w:p w14:paraId="4B7FF00F" w14:textId="77777777" w:rsidR="008F265F" w:rsidRDefault="00A542E4">
      <w:pPr>
        <w:spacing w:beforeLines="50" w:before="156"/>
        <w:ind w:firstLineChars="200" w:firstLine="420"/>
        <w:rPr>
          <w:rFonts w:ascii="宋体" w:hAnsi="宋体" w:cs="宋体"/>
          <w:kern w:val="0"/>
          <w:szCs w:val="21"/>
          <w:shd w:val="pct10" w:color="auto" w:fill="FFFFFF"/>
        </w:rPr>
      </w:pPr>
      <w:r w:rsidRPr="003B685F">
        <w:rPr>
          <w:rFonts w:ascii="宋体" w:hAnsi="宋体" w:cs="宋体" w:hint="eastAsia"/>
          <w:kern w:val="0"/>
          <w:szCs w:val="21"/>
          <w:shd w:val="pct15" w:color="auto" w:fill="FFFFFF"/>
        </w:rPr>
        <w:t>本主险合同在每个</w:t>
      </w:r>
      <w:r w:rsidRPr="003B685F">
        <w:rPr>
          <w:rFonts w:ascii="宋体" w:hAnsi="宋体" w:cs="宋体" w:hint="eastAsia"/>
          <w:b/>
          <w:kern w:val="0"/>
          <w:szCs w:val="21"/>
          <w:shd w:val="pct15" w:color="auto" w:fill="FFFFFF"/>
        </w:rPr>
        <w:t>保单年度</w:t>
      </w:r>
      <w:r w:rsidRPr="003B685F">
        <w:rPr>
          <w:rStyle w:val="af3"/>
          <w:rFonts w:ascii="宋体" w:hAnsi="宋体" w:cs="宋体"/>
          <w:b/>
          <w:kern w:val="0"/>
          <w:szCs w:val="21"/>
          <w:shd w:val="pct15" w:color="auto" w:fill="FFFFFF"/>
        </w:rPr>
        <w:footnoteReference w:id="16"/>
      </w:r>
      <w:r w:rsidRPr="003B685F">
        <w:rPr>
          <w:rFonts w:ascii="宋体" w:hAnsi="宋体" w:cs="宋体" w:hint="eastAsia"/>
          <w:kern w:val="0"/>
          <w:szCs w:val="21"/>
          <w:shd w:val="pct15" w:color="auto" w:fill="FFFFFF"/>
        </w:rPr>
        <w:t>内对应的免赔天数为三日。</w:t>
      </w:r>
    </w:p>
    <w:p w14:paraId="7A6E9C39" w14:textId="77777777" w:rsidR="008F265F" w:rsidRPr="003B685F" w:rsidRDefault="00A542E4">
      <w:pPr>
        <w:spacing w:beforeLines="50" w:before="156"/>
        <w:ind w:firstLineChars="200" w:firstLine="420"/>
        <w:rPr>
          <w:rFonts w:ascii="宋体" w:hAnsi="宋体" w:cs="宋体"/>
          <w:kern w:val="0"/>
          <w:szCs w:val="21"/>
          <w:shd w:val="pct15" w:color="auto" w:fill="FFFFFF"/>
        </w:rPr>
      </w:pPr>
      <w:r w:rsidRPr="003B685F">
        <w:rPr>
          <w:rFonts w:ascii="宋体" w:hAnsi="宋体" w:cs="宋体" w:hint="eastAsia"/>
          <w:kern w:val="0"/>
          <w:szCs w:val="21"/>
          <w:shd w:val="pct15" w:color="auto" w:fill="FFFFFF"/>
        </w:rPr>
        <w:t>每一个保单年度中，我们给付重症监护病房保险金的累计天数达到五十日时，本项保险责任在该保单年度内终止；在本主险合同保险期间内，我们给付重症监护病房补贴保险金的累计天数达到三百日时，本项保险责任终止。</w:t>
      </w:r>
    </w:p>
    <w:p w14:paraId="006C2754" w14:textId="77777777" w:rsidR="008F265F" w:rsidRDefault="00A542E4">
      <w:pPr>
        <w:spacing w:beforeLines="50" w:before="156"/>
        <w:ind w:firstLineChars="200" w:firstLine="420"/>
        <w:rPr>
          <w:rFonts w:ascii="宋体" w:hAnsi="宋体"/>
        </w:rPr>
      </w:pPr>
      <w:r>
        <w:rPr>
          <w:rFonts w:ascii="宋体" w:hAnsi="宋体" w:hint="eastAsia"/>
        </w:rPr>
        <w:t>三、特别说明</w:t>
      </w:r>
    </w:p>
    <w:p w14:paraId="502D754A" w14:textId="77777777" w:rsidR="008F265F" w:rsidRDefault="00A542E4">
      <w:pPr>
        <w:spacing w:beforeLines="50" w:before="156"/>
        <w:ind w:firstLineChars="200" w:firstLine="420"/>
      </w:pPr>
      <w:r>
        <w:rPr>
          <w:rFonts w:hint="eastAsia"/>
        </w:rPr>
        <w:t>（一）</w:t>
      </w:r>
      <w:r>
        <w:t>重大疾病保险</w:t>
      </w:r>
      <w:r>
        <w:rPr>
          <w:rFonts w:hint="eastAsia"/>
        </w:rPr>
        <w:t>金、</w:t>
      </w:r>
      <w:r>
        <w:t>重大疾病多次给付保险</w:t>
      </w:r>
      <w:r>
        <w:rPr>
          <w:rFonts w:hint="eastAsia"/>
        </w:rPr>
        <w:t>金和“恶性肿瘤——重度”关爱保险金给付后的特别</w:t>
      </w:r>
      <w:r>
        <w:t>说明</w:t>
      </w:r>
    </w:p>
    <w:p w14:paraId="7AF9856D" w14:textId="70036696" w:rsidR="008F265F" w:rsidRPr="003B685F" w:rsidRDefault="00A542E4">
      <w:pPr>
        <w:spacing w:beforeLines="50" w:before="156"/>
        <w:ind w:firstLineChars="200" w:firstLine="420"/>
        <w:rPr>
          <w:rFonts w:ascii="宋体" w:hAnsi="宋体" w:cs="宋体"/>
          <w:kern w:val="0"/>
          <w:szCs w:val="21"/>
          <w:shd w:val="pct15" w:color="auto" w:fill="FFFFFF"/>
        </w:rPr>
      </w:pPr>
      <w:r w:rsidRPr="003B685F">
        <w:rPr>
          <w:rFonts w:ascii="宋体" w:hAnsi="宋体" w:cs="宋体"/>
          <w:kern w:val="0"/>
          <w:szCs w:val="21"/>
          <w:shd w:val="pct15" w:color="auto" w:fill="FFFFFF"/>
        </w:rPr>
        <w:t>我们给付重大疾病保险金后</w:t>
      </w:r>
      <w:r w:rsidRPr="003B685F">
        <w:rPr>
          <w:rFonts w:ascii="宋体" w:hAnsi="宋体" w:cs="宋体" w:hint="eastAsia"/>
          <w:kern w:val="0"/>
          <w:szCs w:val="21"/>
          <w:shd w:val="pct15" w:color="auto" w:fill="FFFFFF"/>
        </w:rPr>
        <w:t>，本主险合同现金价值降</w:t>
      </w:r>
      <w:r w:rsidR="00CD25BD" w:rsidRPr="003B685F">
        <w:rPr>
          <w:rFonts w:ascii="宋体" w:hAnsi="宋体" w:cs="宋体" w:hint="eastAsia"/>
          <w:kern w:val="0"/>
          <w:szCs w:val="21"/>
          <w:shd w:val="pct15" w:color="auto" w:fill="FFFFFF"/>
        </w:rPr>
        <w:t>至</w:t>
      </w:r>
      <w:r w:rsidRPr="003B685F">
        <w:rPr>
          <w:rFonts w:ascii="宋体" w:hAnsi="宋体" w:cs="宋体" w:hint="eastAsia"/>
          <w:kern w:val="0"/>
          <w:szCs w:val="21"/>
          <w:shd w:val="pct15" w:color="auto" w:fill="FFFFFF"/>
        </w:rPr>
        <w:t>零，同时身故或</w:t>
      </w:r>
      <w:r w:rsidRPr="003B685F">
        <w:rPr>
          <w:rFonts w:ascii="宋体" w:hAnsi="宋体" w:cs="宋体" w:hint="eastAsia"/>
          <w:kern w:val="0"/>
          <w:szCs w:val="21"/>
          <w:shd w:val="pct15" w:color="auto" w:fill="FFFFFF"/>
        </w:rPr>
        <w:lastRenderedPageBreak/>
        <w:t>全残保险金责任终止。</w:t>
      </w:r>
    </w:p>
    <w:p w14:paraId="5180A154" w14:textId="77777777" w:rsidR="008F265F" w:rsidRPr="003B685F" w:rsidRDefault="00A542E4">
      <w:pPr>
        <w:spacing w:beforeLines="50" w:before="156"/>
        <w:ind w:firstLineChars="200" w:firstLine="420"/>
        <w:rPr>
          <w:rFonts w:ascii="宋体" w:hAnsi="宋体" w:cs="宋体"/>
          <w:kern w:val="0"/>
          <w:szCs w:val="21"/>
          <w:shd w:val="pct15" w:color="auto" w:fill="FFFFFF"/>
        </w:rPr>
      </w:pPr>
      <w:r w:rsidRPr="003B685F">
        <w:rPr>
          <w:rFonts w:ascii="宋体" w:hAnsi="宋体" w:cs="宋体" w:hint="eastAsia"/>
          <w:kern w:val="0"/>
          <w:szCs w:val="21"/>
          <w:shd w:val="pct15" w:color="auto" w:fill="FFFFFF"/>
        </w:rPr>
        <w:t>给付重大疾病保险金、重大疾病多次给付保险金或“恶性肿瘤——重度”关爱保险金后，我们不再对附表二《招商仁和仁心保贝3号重大疾病保险</w:t>
      </w:r>
      <w:r w:rsidRPr="003B685F">
        <w:rPr>
          <w:rFonts w:ascii="宋体" w:hAnsi="宋体" w:cs="宋体"/>
          <w:kern w:val="0"/>
          <w:szCs w:val="21"/>
          <w:shd w:val="pct15" w:color="auto" w:fill="FFFFFF"/>
        </w:rPr>
        <w:t>A</w:t>
      </w:r>
      <w:r w:rsidRPr="003B685F">
        <w:rPr>
          <w:rFonts w:ascii="宋体" w:hAnsi="宋体" w:cs="宋体" w:hint="eastAsia"/>
          <w:kern w:val="0"/>
          <w:szCs w:val="21"/>
          <w:shd w:val="pct15" w:color="auto" w:fill="FFFFFF"/>
        </w:rPr>
        <w:t>款（互联网）重大疾病及中症疾病和轻症疾病除外对应表</w:t>
      </w:r>
      <w:r w:rsidRPr="003B685F">
        <w:rPr>
          <w:rFonts w:ascii="宋体" w:hAnsi="宋体" w:cs="宋体"/>
          <w:kern w:val="0"/>
          <w:szCs w:val="21"/>
          <w:shd w:val="pct15" w:color="auto" w:fill="FFFFFF"/>
        </w:rPr>
        <w:t>》</w:t>
      </w:r>
      <w:r w:rsidRPr="003B685F">
        <w:rPr>
          <w:rFonts w:ascii="宋体" w:hAnsi="宋体" w:cs="宋体" w:hint="eastAsia"/>
          <w:kern w:val="0"/>
          <w:szCs w:val="21"/>
          <w:shd w:val="pct15" w:color="auto" w:fill="FFFFFF"/>
        </w:rPr>
        <w:t>中与重大疾病保险金、重大疾病多次给付保险金或“恶性肿瘤——重度”关爱保险金所对应的重大疾病属于同组的轻症疾病和中症疾病承担轻症疾病保险金、轻症疾病关爱保险金、中症疾病保险金和中症疾病关爱保险金的保险责任</w:t>
      </w:r>
      <w:r w:rsidRPr="003B685F">
        <w:rPr>
          <w:rFonts w:ascii="宋体" w:hAnsi="宋体" w:cs="宋体"/>
          <w:kern w:val="0"/>
          <w:szCs w:val="21"/>
          <w:shd w:val="pct15" w:color="auto" w:fill="FFFFFF"/>
        </w:rPr>
        <w:t>。</w:t>
      </w:r>
    </w:p>
    <w:p w14:paraId="50E16A8E"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被保险人由我们认可的医院的专科医生确诊发生本主险合同定义的重大疾病，且我们已针对该重大疾病给付了重大疾病保险金、重大疾病多次给付保险金或“恶性肿瘤——重度”关爱保险金，若最近一次重大疾病确诊日时轻症疾病保险金的累计给付次数未达到五次，届时：</w:t>
      </w:r>
    </w:p>
    <w:p w14:paraId="72C19A95" w14:textId="77777777" w:rsidR="008F265F" w:rsidRDefault="00A542E4">
      <w:pPr>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1）自</w:t>
      </w:r>
      <w:r>
        <w:rPr>
          <w:rFonts w:ascii="宋体" w:hAnsi="宋体" w:cs="宋体" w:hint="eastAsia"/>
          <w:kern w:val="0"/>
          <w:szCs w:val="21"/>
        </w:rPr>
        <w:t>最近一次</w:t>
      </w:r>
      <w:r>
        <w:rPr>
          <w:rFonts w:ascii="宋体" w:hAnsi="宋体" w:cs="宋体"/>
          <w:kern w:val="0"/>
          <w:szCs w:val="21"/>
        </w:rPr>
        <w:t>重大疾病确诊日起满九十日后，若被保险人由我们认可的医院的专科医生初次确诊发生本主险合同定义的轻症疾病（</w:t>
      </w:r>
      <w:r>
        <w:rPr>
          <w:rFonts w:ascii="宋体" w:hAnsi="宋体" w:cs="宋体" w:hint="eastAsia"/>
          <w:kern w:val="0"/>
          <w:szCs w:val="21"/>
        </w:rPr>
        <w:t>无论</w:t>
      </w:r>
      <w:r>
        <w:rPr>
          <w:rFonts w:ascii="宋体" w:hAnsi="宋体" w:cs="宋体"/>
          <w:kern w:val="0"/>
          <w:szCs w:val="21"/>
        </w:rPr>
        <w:t>一项或多项</w:t>
      </w:r>
      <w:r>
        <w:rPr>
          <w:rFonts w:ascii="宋体" w:hAnsi="宋体" w:cs="宋体" w:hint="eastAsia"/>
          <w:kern w:val="0"/>
          <w:szCs w:val="21"/>
        </w:rPr>
        <w:t>，按一项给付</w:t>
      </w:r>
      <w:r>
        <w:rPr>
          <w:rFonts w:ascii="宋体" w:hAnsi="宋体" w:cs="宋体"/>
          <w:kern w:val="0"/>
          <w:szCs w:val="21"/>
        </w:rPr>
        <w:t>）</w:t>
      </w:r>
      <w:r>
        <w:rPr>
          <w:rFonts w:ascii="宋体" w:hAnsi="宋体" w:cs="宋体" w:hint="eastAsia"/>
          <w:kern w:val="0"/>
          <w:szCs w:val="21"/>
        </w:rPr>
        <w:t>，我们按本主险合同基本保险金额的</w:t>
      </w:r>
      <w:r w:rsidRPr="003B685F">
        <w:rPr>
          <w:rFonts w:ascii="宋体" w:hAnsi="宋体" w:cs="宋体"/>
          <w:kern w:val="0"/>
          <w:szCs w:val="21"/>
          <w:shd w:val="pct15" w:color="auto" w:fill="FFFFFF"/>
        </w:rPr>
        <w:t>30%</w:t>
      </w:r>
      <w:r>
        <w:rPr>
          <w:rFonts w:ascii="宋体" w:hAnsi="宋体" w:cs="宋体"/>
          <w:kern w:val="0"/>
          <w:szCs w:val="21"/>
        </w:rPr>
        <w:t>给付轻症疾病保险金；</w:t>
      </w:r>
    </w:p>
    <w:p w14:paraId="08542D89" w14:textId="77777777" w:rsidR="008F265F" w:rsidRPr="003B685F" w:rsidRDefault="00A542E4">
      <w:pPr>
        <w:ind w:firstLineChars="200" w:firstLine="420"/>
        <w:rPr>
          <w:rFonts w:ascii="宋体" w:hAnsi="宋体" w:cs="宋体"/>
          <w:kern w:val="0"/>
          <w:szCs w:val="21"/>
          <w:shd w:val="pct15" w:color="auto" w:fill="FFFFFF"/>
        </w:rPr>
      </w:pPr>
      <w:r w:rsidRPr="003B685F">
        <w:rPr>
          <w:rFonts w:ascii="宋体" w:hAnsi="宋体" w:cs="宋体" w:hint="eastAsia"/>
          <w:kern w:val="0"/>
          <w:szCs w:val="21"/>
          <w:shd w:val="pct15" w:color="auto" w:fill="FFFFFF"/>
        </w:rPr>
        <w:t>（2）自最近一次重大疾病确诊日起九十日内，若被保险人由我们认可的医院的专科医生初次确诊发生本主险合同定义的轻症疾病，</w:t>
      </w:r>
      <w:r w:rsidRPr="003B685F">
        <w:rPr>
          <w:rFonts w:cs="宋体" w:hint="eastAsia"/>
          <w:kern w:val="0"/>
          <w:szCs w:val="21"/>
          <w:shd w:val="pct15" w:color="auto" w:fill="FFFFFF"/>
        </w:rPr>
        <w:t>我们不承担且不再承担</w:t>
      </w:r>
      <w:r w:rsidRPr="003B685F">
        <w:rPr>
          <w:rFonts w:ascii="宋体" w:hAnsi="宋体" w:cs="宋体" w:hint="eastAsia"/>
          <w:kern w:val="0"/>
          <w:szCs w:val="21"/>
          <w:shd w:val="pct15" w:color="auto" w:fill="FFFFFF"/>
        </w:rPr>
        <w:t>此种轻症疾病</w:t>
      </w:r>
      <w:r w:rsidRPr="003B685F">
        <w:rPr>
          <w:rFonts w:cs="宋体" w:hint="eastAsia"/>
          <w:kern w:val="0"/>
          <w:szCs w:val="21"/>
          <w:shd w:val="pct15" w:color="auto" w:fill="FFFFFF"/>
        </w:rPr>
        <w:t>的</w:t>
      </w:r>
      <w:r w:rsidRPr="003B685F">
        <w:rPr>
          <w:rFonts w:ascii="宋体" w:hAnsi="宋体" w:cs="宋体" w:hint="eastAsia"/>
          <w:kern w:val="0"/>
          <w:szCs w:val="21"/>
          <w:shd w:val="pct15" w:color="auto" w:fill="FFFFFF"/>
        </w:rPr>
        <w:t>“轻症疾病保险金”和“轻症疾病关爱保险金”保险责任，本主险合同继续有效。</w:t>
      </w:r>
    </w:p>
    <w:p w14:paraId="2063875C"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若被保险人由我们认可的医院的专科医生确诊发生本主险合同定义的重大疾病，且我们已针对该重大疾病给付了重大疾病保险金、重大疾病多次给付保险金或“恶性肿瘤——重度”关爱保险金，若最近一次重大疾病确诊</w:t>
      </w:r>
      <w:r>
        <w:rPr>
          <w:rFonts w:ascii="宋体" w:hAnsi="宋体" w:cs="宋体" w:hint="eastAsia"/>
          <w:kern w:val="0"/>
          <w:szCs w:val="21"/>
        </w:rPr>
        <w:lastRenderedPageBreak/>
        <w:t>日时中症疾病保险金的累计给付次数未达到两次，届时：</w:t>
      </w:r>
    </w:p>
    <w:p w14:paraId="254C9CCE" w14:textId="77777777" w:rsidR="008F265F" w:rsidRDefault="00A542E4">
      <w:pPr>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1）自</w:t>
      </w:r>
      <w:r>
        <w:rPr>
          <w:rFonts w:ascii="宋体" w:hAnsi="宋体" w:cs="宋体" w:hint="eastAsia"/>
          <w:kern w:val="0"/>
          <w:szCs w:val="21"/>
        </w:rPr>
        <w:t>最近一次</w:t>
      </w:r>
      <w:r>
        <w:rPr>
          <w:rFonts w:ascii="宋体" w:hAnsi="宋体" w:cs="宋体"/>
          <w:kern w:val="0"/>
          <w:szCs w:val="21"/>
        </w:rPr>
        <w:t>重大疾病确诊日起满九十日后，若被保险人由我们认可的医院的专科医生初次确诊发生本主险合同定义的中症疾病（</w:t>
      </w:r>
      <w:r>
        <w:rPr>
          <w:rFonts w:ascii="宋体" w:hAnsi="宋体" w:cs="宋体" w:hint="eastAsia"/>
          <w:kern w:val="0"/>
          <w:szCs w:val="21"/>
        </w:rPr>
        <w:t>无论</w:t>
      </w:r>
      <w:r>
        <w:rPr>
          <w:rFonts w:ascii="宋体" w:hAnsi="宋体" w:cs="宋体"/>
          <w:kern w:val="0"/>
          <w:szCs w:val="21"/>
        </w:rPr>
        <w:t>一项或多项</w:t>
      </w:r>
      <w:r>
        <w:rPr>
          <w:rFonts w:ascii="宋体" w:hAnsi="宋体" w:cs="宋体" w:hint="eastAsia"/>
          <w:kern w:val="0"/>
          <w:szCs w:val="21"/>
        </w:rPr>
        <w:t>，按一项给付</w:t>
      </w:r>
      <w:r>
        <w:rPr>
          <w:rFonts w:ascii="宋体" w:hAnsi="宋体" w:cs="宋体"/>
          <w:kern w:val="0"/>
          <w:szCs w:val="21"/>
        </w:rPr>
        <w:t>）</w:t>
      </w:r>
      <w:r>
        <w:rPr>
          <w:rFonts w:ascii="宋体" w:hAnsi="宋体" w:cs="宋体" w:hint="eastAsia"/>
          <w:kern w:val="0"/>
          <w:szCs w:val="21"/>
        </w:rPr>
        <w:t>，我们按本主险合同基本保险金额的</w:t>
      </w:r>
      <w:r w:rsidRPr="003B685F">
        <w:rPr>
          <w:rFonts w:ascii="宋体" w:hAnsi="宋体" w:cs="宋体"/>
          <w:kern w:val="0"/>
          <w:szCs w:val="21"/>
          <w:shd w:val="pct15" w:color="auto" w:fill="FFFFFF"/>
        </w:rPr>
        <w:t>60%</w:t>
      </w:r>
      <w:r>
        <w:rPr>
          <w:rFonts w:ascii="宋体" w:hAnsi="宋体" w:cs="宋体"/>
          <w:kern w:val="0"/>
          <w:szCs w:val="21"/>
        </w:rPr>
        <w:t>给付中症疾病保险金；</w:t>
      </w:r>
    </w:p>
    <w:p w14:paraId="07285026" w14:textId="77777777" w:rsidR="008F265F" w:rsidRPr="003B685F" w:rsidRDefault="00A542E4">
      <w:pPr>
        <w:ind w:firstLineChars="200" w:firstLine="420"/>
        <w:rPr>
          <w:rFonts w:ascii="宋体" w:hAnsi="宋体" w:cs="宋体"/>
          <w:kern w:val="0"/>
          <w:szCs w:val="21"/>
          <w:shd w:val="pct15" w:color="auto" w:fill="FFFFFF"/>
        </w:rPr>
      </w:pPr>
      <w:r w:rsidRPr="003B685F">
        <w:rPr>
          <w:rFonts w:ascii="宋体" w:hAnsi="宋体" w:cs="宋体" w:hint="eastAsia"/>
          <w:kern w:val="0"/>
          <w:szCs w:val="21"/>
          <w:shd w:val="pct15" w:color="auto" w:fill="FFFFFF"/>
        </w:rPr>
        <w:t>（2）自最近一次重大疾病确诊日起九十日内，若被保险人由我们认可的医院的专科医生初次确诊发生本主险合同定义的中症疾病，我们不承担且</w:t>
      </w:r>
      <w:r w:rsidRPr="003B685F">
        <w:rPr>
          <w:rFonts w:cs="宋体" w:hint="eastAsia"/>
          <w:kern w:val="0"/>
          <w:szCs w:val="21"/>
          <w:shd w:val="pct15" w:color="auto" w:fill="FFFFFF"/>
        </w:rPr>
        <w:t>不再承担此种中症疾病的</w:t>
      </w:r>
      <w:r w:rsidRPr="003B685F">
        <w:rPr>
          <w:rFonts w:ascii="宋体" w:hAnsi="宋体" w:cs="宋体" w:hint="eastAsia"/>
          <w:kern w:val="0"/>
          <w:szCs w:val="21"/>
          <w:shd w:val="pct15" w:color="auto" w:fill="FFFFFF"/>
        </w:rPr>
        <w:t>“中症疾病保险金”和“中症疾病关爱保险金”</w:t>
      </w:r>
      <w:r w:rsidRPr="003B685F">
        <w:rPr>
          <w:rFonts w:cs="宋体" w:hint="eastAsia"/>
          <w:kern w:val="0"/>
          <w:szCs w:val="21"/>
          <w:shd w:val="pct15" w:color="auto" w:fill="FFFFFF"/>
        </w:rPr>
        <w:t>保险责任，本主险合同继续有效</w:t>
      </w:r>
      <w:r w:rsidRPr="003B685F">
        <w:rPr>
          <w:rFonts w:ascii="宋体" w:hAnsi="宋体" w:cs="宋体" w:hint="eastAsia"/>
          <w:kern w:val="0"/>
          <w:szCs w:val="21"/>
          <w:shd w:val="pct15" w:color="auto" w:fill="FFFFFF"/>
        </w:rPr>
        <w:t>。</w:t>
      </w:r>
    </w:p>
    <w:p w14:paraId="309775F5" w14:textId="77777777" w:rsidR="008F265F" w:rsidRDefault="00A542E4">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rPr>
        <w:t>（二）同时符合多项保险责任的特别说明</w:t>
      </w:r>
    </w:p>
    <w:p w14:paraId="3D94FBAA" w14:textId="77777777" w:rsidR="008F265F" w:rsidRPr="003B685F" w:rsidRDefault="00A542E4">
      <w:pPr>
        <w:spacing w:beforeLines="50" w:before="156"/>
        <w:ind w:firstLineChars="200" w:firstLine="420"/>
        <w:rPr>
          <w:rFonts w:ascii="宋体" w:hAnsi="宋体" w:cs="宋体"/>
          <w:kern w:val="0"/>
          <w:szCs w:val="21"/>
          <w:shd w:val="pct15" w:color="auto" w:fill="FFFFFF"/>
        </w:rPr>
      </w:pPr>
      <w:r w:rsidRPr="003B685F">
        <w:rPr>
          <w:rFonts w:ascii="宋体" w:hAnsi="宋体" w:cs="宋体"/>
          <w:kern w:val="0"/>
          <w:szCs w:val="21"/>
          <w:shd w:val="pct15" w:color="auto" w:fill="FFFFFF"/>
        </w:rPr>
        <w:t>若</w:t>
      </w:r>
      <w:r w:rsidRPr="003B685F">
        <w:rPr>
          <w:rFonts w:ascii="宋体" w:hAnsi="宋体" w:cs="宋体" w:hint="eastAsia"/>
          <w:kern w:val="0"/>
          <w:szCs w:val="21"/>
          <w:shd w:val="pct15" w:color="auto" w:fill="FFFFFF"/>
        </w:rPr>
        <w:t>被保险人在确诊时符合“中症疾病保险金”保险责任，同时又符合“轻症疾病保险金”或“轻症疾病关爱保险金”保险责任中的一种或多种，我们仅承担给付中症疾病保险金的保险责任。</w:t>
      </w:r>
    </w:p>
    <w:p w14:paraId="1787836D" w14:textId="77777777" w:rsidR="008F265F" w:rsidRPr="003B685F" w:rsidRDefault="00A542E4">
      <w:pPr>
        <w:spacing w:beforeLines="50" w:before="156"/>
        <w:ind w:firstLineChars="200" w:firstLine="420"/>
        <w:rPr>
          <w:rFonts w:ascii="宋体" w:hAnsi="宋体" w:cs="宋体"/>
          <w:kern w:val="0"/>
          <w:szCs w:val="21"/>
          <w:shd w:val="pct15" w:color="auto" w:fill="FFFFFF"/>
        </w:rPr>
      </w:pPr>
      <w:r w:rsidRPr="003B685F">
        <w:rPr>
          <w:rFonts w:ascii="宋体" w:hAnsi="宋体" w:cs="宋体"/>
          <w:kern w:val="0"/>
          <w:szCs w:val="21"/>
          <w:shd w:val="pct15" w:color="auto" w:fill="FFFFFF"/>
        </w:rPr>
        <w:t>若</w:t>
      </w:r>
      <w:r w:rsidRPr="003B685F">
        <w:rPr>
          <w:rFonts w:ascii="宋体" w:hAnsi="宋体" w:cs="宋体" w:hint="eastAsia"/>
          <w:kern w:val="0"/>
          <w:szCs w:val="21"/>
          <w:shd w:val="pct15" w:color="auto" w:fill="FFFFFF"/>
        </w:rPr>
        <w:t>被保险人在确诊时符合“中症疾病关爱保险金”保险责任，同时又符合“轻症疾病保险金”或“轻症疾病关爱保险金”保险责任中的一种或多种，我们仅承担给付中症疾病关爱保险金的保险责任。</w:t>
      </w:r>
    </w:p>
    <w:p w14:paraId="44C997D5" w14:textId="77777777" w:rsidR="008F265F" w:rsidRPr="003B685F" w:rsidRDefault="00A542E4">
      <w:pPr>
        <w:spacing w:beforeLines="50" w:before="156"/>
        <w:ind w:firstLineChars="200" w:firstLine="420"/>
        <w:rPr>
          <w:rFonts w:ascii="宋体" w:hAnsi="宋体" w:cs="宋体"/>
          <w:kern w:val="0"/>
          <w:szCs w:val="21"/>
          <w:shd w:val="pct15" w:color="auto" w:fill="FFFFFF"/>
        </w:rPr>
      </w:pPr>
      <w:r w:rsidRPr="003B685F">
        <w:rPr>
          <w:rFonts w:ascii="宋体" w:hAnsi="宋体" w:cs="宋体"/>
          <w:kern w:val="0"/>
          <w:szCs w:val="21"/>
          <w:shd w:val="pct15" w:color="auto" w:fill="FFFFFF"/>
        </w:rPr>
        <w:t>若</w:t>
      </w:r>
      <w:r w:rsidRPr="003B685F">
        <w:rPr>
          <w:rFonts w:ascii="宋体" w:hAnsi="宋体" w:cs="宋体" w:hint="eastAsia"/>
          <w:kern w:val="0"/>
          <w:szCs w:val="21"/>
          <w:shd w:val="pct15" w:color="auto" w:fill="FFFFFF"/>
        </w:rPr>
        <w:t>被保险人在确诊时符合“重大疾病保险金”保险责任，同时又符合“轻症疾病保险金”、“轻症疾病关爱保险金”、“中症疾病保险金”或“中症疾病关爱保险金”保险责任中的一种或多种，我们仅承担给付重大疾病保险金的保险责任。</w:t>
      </w:r>
    </w:p>
    <w:p w14:paraId="04D298CE" w14:textId="77777777" w:rsidR="008F265F" w:rsidRPr="003B685F" w:rsidRDefault="00A542E4">
      <w:pPr>
        <w:spacing w:beforeLines="50" w:before="156"/>
        <w:ind w:firstLineChars="200" w:firstLine="420"/>
        <w:rPr>
          <w:rFonts w:ascii="宋体" w:hAnsi="宋体" w:cs="宋体"/>
          <w:kern w:val="0"/>
          <w:szCs w:val="21"/>
          <w:shd w:val="pct15" w:color="auto" w:fill="FFFFFF"/>
        </w:rPr>
      </w:pPr>
      <w:r w:rsidRPr="003B685F">
        <w:rPr>
          <w:rFonts w:ascii="宋体" w:hAnsi="宋体" w:cs="宋体"/>
          <w:kern w:val="0"/>
          <w:szCs w:val="21"/>
          <w:shd w:val="pct15" w:color="auto" w:fill="FFFFFF"/>
        </w:rPr>
        <w:t>若</w:t>
      </w:r>
      <w:r w:rsidRPr="003B685F">
        <w:rPr>
          <w:rFonts w:ascii="宋体" w:hAnsi="宋体" w:cs="宋体" w:hint="eastAsia"/>
          <w:kern w:val="0"/>
          <w:szCs w:val="21"/>
          <w:shd w:val="pct15" w:color="auto" w:fill="FFFFFF"/>
        </w:rPr>
        <w:t>被保险人在确诊时符合“重大疾病关爱保险金”保险责任，同时又符</w:t>
      </w:r>
      <w:r w:rsidRPr="003B685F">
        <w:rPr>
          <w:rFonts w:ascii="宋体" w:hAnsi="宋体" w:cs="宋体" w:hint="eastAsia"/>
          <w:kern w:val="0"/>
          <w:szCs w:val="21"/>
          <w:shd w:val="pct15" w:color="auto" w:fill="FFFFFF"/>
        </w:rPr>
        <w:lastRenderedPageBreak/>
        <w:t>合“轻症疾病保险金”、“轻症疾病关爱保险金”、“中症疾病保险金”或“中症疾病关爱保险金”保险责任中的一种或多种，我们仅承担给付重大疾病关爱保险金的保险责任。</w:t>
      </w:r>
    </w:p>
    <w:p w14:paraId="1E3CC2D2" w14:textId="77777777" w:rsidR="008F265F" w:rsidRPr="003B685F" w:rsidRDefault="00A542E4">
      <w:pPr>
        <w:spacing w:beforeLines="50" w:before="156"/>
        <w:ind w:firstLineChars="200" w:firstLine="420"/>
        <w:rPr>
          <w:rFonts w:ascii="宋体" w:hAnsi="宋体" w:cs="宋体"/>
          <w:kern w:val="0"/>
          <w:szCs w:val="21"/>
          <w:shd w:val="pct15" w:color="auto" w:fill="FFFFFF"/>
        </w:rPr>
      </w:pPr>
      <w:r w:rsidRPr="003B685F">
        <w:rPr>
          <w:rFonts w:ascii="宋体" w:hAnsi="宋体" w:cs="宋体"/>
          <w:kern w:val="0"/>
          <w:szCs w:val="21"/>
          <w:shd w:val="pct15" w:color="auto" w:fill="FFFFFF"/>
        </w:rPr>
        <w:t>若</w:t>
      </w:r>
      <w:r w:rsidRPr="003B685F">
        <w:rPr>
          <w:rFonts w:ascii="宋体" w:hAnsi="宋体" w:cs="宋体" w:hint="eastAsia"/>
          <w:kern w:val="0"/>
          <w:szCs w:val="21"/>
          <w:shd w:val="pct15" w:color="auto" w:fill="FFFFFF"/>
        </w:rPr>
        <w:t>被保险人在确诊时符合“重大疾病多次给付保险金”保险责任，同时又符合“轻症疾病保险金”、“轻症疾病关爱保险金”、“中症疾病保险金”或“中症疾病关爱保险金”保险责任中的一种或多种，我们仅承担给付重大疾病多次给付保险金的保险责任。</w:t>
      </w:r>
    </w:p>
    <w:p w14:paraId="1C0ABDAB" w14:textId="77777777" w:rsidR="008F265F" w:rsidRPr="003B685F" w:rsidRDefault="00A542E4">
      <w:pPr>
        <w:spacing w:beforeLines="50" w:before="156"/>
        <w:ind w:firstLineChars="200" w:firstLine="420"/>
        <w:rPr>
          <w:rFonts w:ascii="宋体" w:hAnsi="宋体" w:cs="宋体"/>
          <w:kern w:val="0"/>
          <w:szCs w:val="21"/>
          <w:shd w:val="pct15" w:color="auto" w:fill="FFFFFF"/>
        </w:rPr>
      </w:pPr>
      <w:r w:rsidRPr="003B685F">
        <w:rPr>
          <w:rFonts w:ascii="宋体" w:hAnsi="宋体" w:cs="宋体"/>
          <w:kern w:val="0"/>
          <w:szCs w:val="21"/>
          <w:shd w:val="pct15" w:color="auto" w:fill="FFFFFF"/>
        </w:rPr>
        <w:t>若</w:t>
      </w:r>
      <w:r w:rsidRPr="003B685F">
        <w:rPr>
          <w:rFonts w:ascii="宋体" w:hAnsi="宋体" w:cs="宋体" w:hint="eastAsia"/>
          <w:kern w:val="0"/>
          <w:szCs w:val="21"/>
          <w:shd w:val="pct15" w:color="auto" w:fill="FFFFFF"/>
        </w:rPr>
        <w:t>被保险人在确诊时符合“‘恶性肿瘤——重度’关爱保险金”保险责任，同时又符合“轻症疾病保险金”、“轻症疾病关爱保险金”、“中症疾病保险金”或“中症疾病关爱保险金”保险责任中的一种或多种，我们仅承担给付“恶性肿瘤——重度”关爱保险金的保险责任。</w:t>
      </w:r>
    </w:p>
    <w:p w14:paraId="631B189E" w14:textId="77777777" w:rsidR="008F265F" w:rsidRDefault="00A542E4">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rPr>
        <w:t>（三）保险责任均终止的特别说明</w:t>
      </w:r>
    </w:p>
    <w:p w14:paraId="218C5AE3" w14:textId="77777777" w:rsidR="008F265F" w:rsidRDefault="00A542E4">
      <w:pPr>
        <w:spacing w:beforeLines="50" w:before="156"/>
        <w:ind w:firstLineChars="200" w:firstLine="420"/>
        <w:rPr>
          <w:szCs w:val="21"/>
        </w:rPr>
      </w:pPr>
      <w:r>
        <w:rPr>
          <w:rFonts w:hint="eastAsia"/>
          <w:szCs w:val="21"/>
        </w:rPr>
        <w:t>若本主险合同保险责任均终止，届时：</w:t>
      </w:r>
    </w:p>
    <w:p w14:paraId="2087891D"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t>（1）若本主险合同未附加其他附加合同，则本主险合同终止；</w:t>
      </w:r>
    </w:p>
    <w:p w14:paraId="0AA3DE6D" w14:textId="77777777" w:rsidR="008F265F" w:rsidRDefault="00A542E4">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若本主险合同附加了其他附加合同</w:t>
      </w:r>
      <w:r>
        <w:rPr>
          <w:rFonts w:ascii="宋体" w:hAnsi="宋体" w:cs="宋体" w:hint="eastAsia"/>
          <w:kern w:val="0"/>
          <w:szCs w:val="21"/>
        </w:rPr>
        <w:t>，</w:t>
      </w:r>
      <w:r>
        <w:rPr>
          <w:rFonts w:ascii="宋体" w:hAnsi="宋体" w:cs="宋体"/>
          <w:kern w:val="0"/>
          <w:szCs w:val="21"/>
        </w:rPr>
        <w:t>则本主险合同在除豁免保险费合同以外的其他附加险合同均终止后终止</w:t>
      </w:r>
      <w:r>
        <w:rPr>
          <w:rFonts w:ascii="宋体" w:hAnsi="宋体" w:cs="宋体" w:hint="eastAsia"/>
          <w:kern w:val="0"/>
          <w:szCs w:val="21"/>
        </w:rPr>
        <w:t>。</w:t>
      </w:r>
    </w:p>
    <w:p w14:paraId="4B98BA9D" w14:textId="77777777" w:rsidR="008F265F" w:rsidRDefault="00A542E4">
      <w:pPr>
        <w:numPr>
          <w:ilvl w:val="0"/>
          <w:numId w:val="1"/>
        </w:numPr>
        <w:spacing w:beforeLines="100" w:before="312"/>
        <w:ind w:left="902" w:hanging="902"/>
        <w:rPr>
          <w:rFonts w:ascii="宋体" w:hAnsi="宋体"/>
          <w:b/>
          <w:bCs/>
        </w:rPr>
      </w:pPr>
      <w:r>
        <w:rPr>
          <w:rFonts w:ascii="宋体" w:hAnsi="宋体" w:hint="eastAsia"/>
          <w:b/>
          <w:bCs/>
        </w:rPr>
        <w:t>投保范围</w:t>
      </w:r>
    </w:p>
    <w:p w14:paraId="3D3BE9A9" w14:textId="77777777" w:rsidR="008F265F" w:rsidRDefault="00A542E4">
      <w:pPr>
        <w:pStyle w:val="af5"/>
        <w:spacing w:before="156"/>
      </w:pPr>
      <w:r>
        <w:rPr>
          <w:rFonts w:hint="eastAsia"/>
        </w:rPr>
        <w:t>本主险合同接受的被保险人的投保年龄范围为零周岁（须出生满二十八日）至十七周岁，且须符合投保当时我们的规定。</w:t>
      </w:r>
    </w:p>
    <w:p w14:paraId="3E7FBCF4" w14:textId="77777777" w:rsidR="008F265F" w:rsidRDefault="00A542E4">
      <w:pPr>
        <w:numPr>
          <w:ilvl w:val="0"/>
          <w:numId w:val="1"/>
        </w:numPr>
        <w:spacing w:beforeLines="100" w:before="312"/>
        <w:ind w:left="902" w:hanging="902"/>
        <w:rPr>
          <w:rFonts w:ascii="宋体" w:hAnsi="宋体"/>
          <w:b/>
          <w:bCs/>
        </w:rPr>
      </w:pPr>
      <w:r>
        <w:rPr>
          <w:rFonts w:ascii="宋体" w:hAnsi="宋体" w:hint="eastAsia"/>
          <w:b/>
          <w:bCs/>
        </w:rPr>
        <w:t>保险期间</w:t>
      </w:r>
    </w:p>
    <w:p w14:paraId="4580BE32" w14:textId="7C640AD5" w:rsidR="008F265F" w:rsidRDefault="00A542E4">
      <w:pPr>
        <w:pStyle w:val="af5"/>
        <w:spacing w:before="156"/>
      </w:pPr>
      <w:r>
        <w:rPr>
          <w:rFonts w:hint="eastAsia"/>
        </w:rPr>
        <w:lastRenderedPageBreak/>
        <w:t>本主险合同的保险期间为终身，或自本主险合同生效日零时起至被保险人年满七十周岁后的</w:t>
      </w:r>
      <w:r w:rsidR="00330C9C">
        <w:rPr>
          <w:rFonts w:hint="eastAsia"/>
        </w:rPr>
        <w:t>首个</w:t>
      </w:r>
      <w:r>
        <w:rPr>
          <w:rFonts w:hint="eastAsia"/>
          <w:b/>
        </w:rPr>
        <w:t>保单周年日</w:t>
      </w:r>
      <w:r>
        <w:rPr>
          <w:rStyle w:val="af3"/>
          <w:b/>
        </w:rPr>
        <w:footnoteReference w:id="17"/>
      </w:r>
      <w:r>
        <w:rPr>
          <w:rFonts w:hint="eastAsia"/>
        </w:rPr>
        <w:t>零时止两种。保险期间由您在投保时与我们约定，并在保险单上载明。</w:t>
      </w:r>
    </w:p>
    <w:p w14:paraId="59B63D2F" w14:textId="77777777" w:rsidR="008F265F" w:rsidRDefault="00A542E4">
      <w:pPr>
        <w:pStyle w:val="af4"/>
        <w:spacing w:before="468"/>
        <w:rPr>
          <w:sz w:val="24"/>
        </w:rPr>
      </w:pPr>
      <w:r>
        <w:rPr>
          <w:rFonts w:hint="eastAsia"/>
          <w:sz w:val="24"/>
        </w:rPr>
        <w:t>第二章  我们不保什么</w:t>
      </w:r>
    </w:p>
    <w:p w14:paraId="3F5628E3" w14:textId="77777777" w:rsidR="008F265F" w:rsidRDefault="00A542E4">
      <w:pPr>
        <w:pStyle w:val="af4"/>
        <w:spacing w:beforeLines="50" w:before="156"/>
        <w:rPr>
          <w:rFonts w:eastAsia="楷体"/>
          <w:b w:val="0"/>
        </w:rPr>
      </w:pPr>
      <w:r>
        <w:rPr>
          <w:rFonts w:eastAsia="楷体"/>
          <w:b w:val="0"/>
        </w:rPr>
        <w:t>这部分讲的是我们不承担保险责任的情况</w:t>
      </w:r>
      <w:r>
        <w:rPr>
          <w:rFonts w:eastAsia="楷体" w:hint="eastAsia"/>
          <w:b w:val="0"/>
        </w:rPr>
        <w:t>。</w:t>
      </w:r>
    </w:p>
    <w:p w14:paraId="676B6D1F" w14:textId="77777777" w:rsidR="008F265F" w:rsidRDefault="00992274">
      <w:pPr>
        <w:pStyle w:val="af4"/>
        <w:spacing w:beforeLines="0"/>
        <w:jc w:val="both"/>
        <w:rPr>
          <w:rFonts w:eastAsia="楷体"/>
          <w:b w:val="0"/>
        </w:rPr>
      </w:pPr>
      <w:r>
        <w:rPr>
          <w:rFonts w:eastAsia="楷体"/>
          <w:b w:val="0"/>
        </w:rPr>
        <w:pict w14:anchorId="0E48BBB4">
          <v:rect id="_x0000_i1026" style="width:453.6pt;height:1pt" o:hralign="center" o:hrstd="t" o:hrnoshade="t" o:hr="t" fillcolor="black" stroked="f"/>
        </w:pict>
      </w:r>
    </w:p>
    <w:p w14:paraId="4DE41BCE" w14:textId="77777777" w:rsidR="008F265F" w:rsidRDefault="00A542E4">
      <w:pPr>
        <w:numPr>
          <w:ilvl w:val="0"/>
          <w:numId w:val="1"/>
        </w:numPr>
        <w:spacing w:beforeLines="100" w:before="312"/>
        <w:ind w:left="902" w:hanging="902"/>
        <w:rPr>
          <w:rFonts w:ascii="宋体" w:hAnsi="宋体"/>
          <w:b/>
          <w:bCs/>
          <w:color w:val="000000" w:themeColor="text1"/>
        </w:rPr>
      </w:pPr>
      <w:bookmarkStart w:id="1" w:name="_Hlk521571306"/>
      <w:r>
        <w:rPr>
          <w:rFonts w:ascii="宋体" w:hAnsi="宋体" w:hint="eastAsia"/>
          <w:b/>
          <w:bCs/>
          <w:color w:val="000000" w:themeColor="text1"/>
        </w:rPr>
        <w:t>责任免除</w:t>
      </w:r>
    </w:p>
    <w:p w14:paraId="430B9B15" w14:textId="77777777" w:rsidR="008F265F" w:rsidRPr="000037DF" w:rsidRDefault="00A542E4">
      <w:pPr>
        <w:widowControl/>
        <w:spacing w:beforeLines="50" w:before="156"/>
        <w:ind w:left="1" w:right="28" w:firstLineChars="199" w:firstLine="418"/>
        <w:rPr>
          <w:rFonts w:ascii="宋体" w:hAnsi="宋体"/>
          <w:shd w:val="pct15" w:color="auto" w:fill="FFFFFF"/>
        </w:rPr>
      </w:pPr>
      <w:bookmarkStart w:id="2" w:name="OLE_LINK1"/>
      <w:bookmarkStart w:id="3" w:name="OLE_LINK3"/>
      <w:bookmarkEnd w:id="1"/>
      <w:r w:rsidRPr="000037DF">
        <w:rPr>
          <w:rFonts w:ascii="宋体" w:hAnsi="宋体" w:hint="eastAsia"/>
          <w:shd w:val="pct15" w:color="auto" w:fill="FFFFFF"/>
        </w:rPr>
        <w:t>因下列</w:t>
      </w:r>
      <w:r w:rsidRPr="000037DF">
        <w:rPr>
          <w:rFonts w:ascii="宋体" w:hAnsi="宋体"/>
          <w:shd w:val="pct15" w:color="auto" w:fill="FFFFFF"/>
        </w:rPr>
        <w:t>情形</w:t>
      </w:r>
      <w:r w:rsidRPr="000037DF">
        <w:rPr>
          <w:rFonts w:ascii="宋体" w:hAnsi="宋体" w:hint="eastAsia"/>
          <w:shd w:val="pct15" w:color="auto" w:fill="FFFFFF"/>
        </w:rPr>
        <w:t>之一，</w:t>
      </w:r>
      <w:r w:rsidRPr="000037DF">
        <w:rPr>
          <w:rFonts w:ascii="宋体" w:hAnsi="宋体"/>
          <w:shd w:val="pct15" w:color="auto" w:fill="FFFFFF"/>
        </w:rPr>
        <w:t>导致被保险人发生本主险合同</w:t>
      </w:r>
      <w:r w:rsidRPr="000037DF">
        <w:rPr>
          <w:rFonts w:ascii="宋体" w:hAnsi="宋体" w:hint="eastAsia"/>
          <w:shd w:val="pct15" w:color="auto" w:fill="FFFFFF"/>
        </w:rPr>
        <w:t>所约定的保险事故的</w:t>
      </w:r>
      <w:r w:rsidRPr="000037DF">
        <w:rPr>
          <w:rFonts w:ascii="宋体" w:hAnsi="宋体"/>
          <w:shd w:val="pct15" w:color="auto" w:fill="FFFFFF"/>
        </w:rPr>
        <w:t>，我们不承担给付</w:t>
      </w:r>
      <w:r w:rsidRPr="000037DF">
        <w:rPr>
          <w:rFonts w:ascii="宋体" w:hAnsi="宋体" w:hint="eastAsia"/>
          <w:shd w:val="pct15" w:color="auto" w:fill="FFFFFF"/>
        </w:rPr>
        <w:t>保险金及豁免保险费</w:t>
      </w:r>
      <w:r w:rsidRPr="000037DF">
        <w:rPr>
          <w:rFonts w:ascii="宋体" w:hAnsi="宋体"/>
          <w:shd w:val="pct15" w:color="auto" w:fill="FFFFFF"/>
        </w:rPr>
        <w:t>的责任：</w:t>
      </w:r>
    </w:p>
    <w:p w14:paraId="2F494807" w14:textId="77777777" w:rsidR="008F265F" w:rsidRPr="000037DF" w:rsidRDefault="00A542E4">
      <w:pPr>
        <w:widowControl/>
        <w:ind w:right="29" w:firstLineChars="199" w:firstLine="418"/>
        <w:rPr>
          <w:rFonts w:ascii="宋体" w:hAnsi="宋体"/>
          <w:shd w:val="pct15" w:color="auto" w:fill="FFFFFF"/>
        </w:rPr>
      </w:pPr>
      <w:r w:rsidRPr="000037DF">
        <w:rPr>
          <w:rFonts w:ascii="宋体" w:hAnsi="宋体" w:hint="eastAsia"/>
          <w:shd w:val="pct15" w:color="auto" w:fill="FFFFFF"/>
        </w:rPr>
        <w:t>一、投保人对</w:t>
      </w:r>
      <w:r w:rsidRPr="000037DF">
        <w:rPr>
          <w:rFonts w:ascii="宋体" w:hAnsi="宋体"/>
          <w:shd w:val="pct15" w:color="auto" w:fill="FFFFFF"/>
        </w:rPr>
        <w:t>被保险人的故意杀害、故意伤害</w:t>
      </w:r>
      <w:r w:rsidRPr="000037DF">
        <w:rPr>
          <w:rFonts w:ascii="宋体" w:hAnsi="宋体" w:hint="eastAsia"/>
          <w:shd w:val="pct15" w:color="auto" w:fill="FFFFFF"/>
        </w:rPr>
        <w:t>；</w:t>
      </w:r>
    </w:p>
    <w:p w14:paraId="295CEE64" w14:textId="77777777" w:rsidR="008F265F" w:rsidRPr="000037DF" w:rsidRDefault="00A542E4">
      <w:pPr>
        <w:widowControl/>
        <w:ind w:right="29" w:firstLineChars="199" w:firstLine="418"/>
        <w:rPr>
          <w:rFonts w:ascii="宋体" w:hAnsi="宋体"/>
          <w:shd w:val="pct15" w:color="auto" w:fill="FFFFFF"/>
        </w:rPr>
      </w:pPr>
      <w:r w:rsidRPr="000037DF">
        <w:rPr>
          <w:rFonts w:ascii="宋体" w:hAnsi="宋体" w:hint="eastAsia"/>
          <w:shd w:val="pct15" w:color="auto" w:fill="FFFFFF"/>
        </w:rPr>
        <w:t>二、被保险人故意犯罪或者抗拒依法采取的刑事强制措施；</w:t>
      </w:r>
    </w:p>
    <w:p w14:paraId="6D322E7E" w14:textId="77777777" w:rsidR="008F265F" w:rsidRPr="000037DF" w:rsidRDefault="00A542E4">
      <w:pPr>
        <w:widowControl/>
        <w:ind w:right="29" w:firstLineChars="199" w:firstLine="418"/>
        <w:rPr>
          <w:rFonts w:ascii="宋体" w:hAnsi="宋体"/>
          <w:shd w:val="pct15" w:color="auto" w:fill="FFFFFF"/>
        </w:rPr>
      </w:pPr>
      <w:r w:rsidRPr="000037DF">
        <w:rPr>
          <w:rFonts w:ascii="宋体" w:hAnsi="宋体"/>
          <w:shd w:val="pct15" w:color="auto" w:fill="FFFFFF"/>
        </w:rPr>
        <w:t>三</w:t>
      </w:r>
      <w:r w:rsidRPr="000037DF">
        <w:rPr>
          <w:rFonts w:ascii="宋体" w:hAnsi="宋体" w:hint="eastAsia"/>
          <w:shd w:val="pct15" w:color="auto" w:fill="FFFFFF"/>
        </w:rPr>
        <w:t>、被保险人故意自伤、或自本主险合同成立或者本主险合同效力恢复之日起2年内自杀，但被保险人自杀时为无民事行为能力人的除外；</w:t>
      </w:r>
    </w:p>
    <w:p w14:paraId="392E9282" w14:textId="77777777" w:rsidR="008F265F" w:rsidRPr="000037DF" w:rsidRDefault="00A542E4">
      <w:pPr>
        <w:widowControl/>
        <w:ind w:right="29" w:firstLineChars="200" w:firstLine="420"/>
        <w:rPr>
          <w:rFonts w:ascii="宋体" w:hAnsi="宋体"/>
          <w:shd w:val="pct15" w:color="auto" w:fill="FFFFFF"/>
        </w:rPr>
      </w:pPr>
      <w:r w:rsidRPr="000037DF">
        <w:rPr>
          <w:rFonts w:ascii="宋体" w:hAnsi="宋体" w:hint="eastAsia"/>
          <w:shd w:val="pct15" w:color="auto" w:fill="FFFFFF"/>
        </w:rPr>
        <w:t>四、被保险人</w:t>
      </w:r>
      <w:r w:rsidRPr="000037DF">
        <w:rPr>
          <w:rFonts w:ascii="宋体" w:hAnsi="宋体"/>
          <w:shd w:val="pct15" w:color="auto" w:fill="FFFFFF"/>
        </w:rPr>
        <w:t>服用</w:t>
      </w:r>
      <w:r w:rsidRPr="000037DF">
        <w:rPr>
          <w:rFonts w:ascii="宋体" w:hAnsi="宋体" w:hint="eastAsia"/>
          <w:shd w:val="pct15" w:color="auto" w:fill="FFFFFF"/>
        </w:rPr>
        <w:t>、吸食或注射</w:t>
      </w:r>
      <w:r w:rsidRPr="000037DF">
        <w:rPr>
          <w:rFonts w:ascii="宋体" w:hAnsi="宋体" w:hint="eastAsia"/>
          <w:b/>
          <w:shd w:val="pct15" w:color="auto" w:fill="FFFFFF"/>
        </w:rPr>
        <w:t>毒品</w:t>
      </w:r>
      <w:r w:rsidRPr="000037DF">
        <w:rPr>
          <w:rStyle w:val="af3"/>
          <w:rFonts w:ascii="宋体" w:hAnsi="宋体"/>
          <w:b/>
          <w:shd w:val="pct15" w:color="auto" w:fill="FFFFFF"/>
        </w:rPr>
        <w:footnoteReference w:id="18"/>
      </w:r>
      <w:r w:rsidRPr="000037DF">
        <w:rPr>
          <w:rFonts w:ascii="宋体" w:hAnsi="宋体" w:hint="eastAsia"/>
          <w:shd w:val="pct15" w:color="auto" w:fill="FFFFFF"/>
        </w:rPr>
        <w:t>；</w:t>
      </w:r>
    </w:p>
    <w:p w14:paraId="7514FFE2" w14:textId="77777777" w:rsidR="008F265F" w:rsidRPr="003B685F" w:rsidRDefault="00A542E4">
      <w:pPr>
        <w:widowControl/>
        <w:ind w:right="29" w:firstLineChars="199" w:firstLine="418"/>
        <w:rPr>
          <w:rFonts w:ascii="宋体" w:hAnsi="宋体"/>
          <w:shd w:val="pct15" w:color="auto" w:fill="FFFFFF"/>
        </w:rPr>
      </w:pPr>
      <w:r w:rsidRPr="000037DF">
        <w:rPr>
          <w:rFonts w:ascii="宋体" w:hAnsi="宋体"/>
          <w:shd w:val="pct15" w:color="auto" w:fill="FFFFFF"/>
        </w:rPr>
        <w:lastRenderedPageBreak/>
        <w:t>五</w:t>
      </w:r>
      <w:r w:rsidRPr="000037DF">
        <w:rPr>
          <w:rFonts w:ascii="宋体" w:hAnsi="宋体" w:hint="eastAsia"/>
          <w:shd w:val="pct15" w:color="auto" w:fill="FFFFFF"/>
        </w:rPr>
        <w:t>、被保险人</w:t>
      </w:r>
      <w:r w:rsidRPr="000037DF">
        <w:rPr>
          <w:rFonts w:ascii="宋体" w:hAnsi="宋体" w:hint="eastAsia"/>
          <w:b/>
          <w:shd w:val="pct15" w:color="auto" w:fill="FFFFFF"/>
        </w:rPr>
        <w:t>酒后驾驶</w:t>
      </w:r>
      <w:r w:rsidRPr="003B685F">
        <w:rPr>
          <w:rStyle w:val="af3"/>
          <w:rFonts w:ascii="宋体" w:hAnsi="宋体"/>
          <w:b/>
          <w:shd w:val="pct15" w:color="auto" w:fill="FFFFFF"/>
        </w:rPr>
        <w:footnoteReference w:id="19"/>
      </w:r>
      <w:r w:rsidRPr="003B685F">
        <w:rPr>
          <w:rFonts w:ascii="宋体" w:hAnsi="宋体" w:hint="eastAsia"/>
          <w:shd w:val="pct15" w:color="auto" w:fill="FFFFFF"/>
        </w:rPr>
        <w:t>，</w:t>
      </w:r>
      <w:r w:rsidRPr="003B685F">
        <w:rPr>
          <w:rFonts w:ascii="宋体" w:hAnsi="宋体" w:hint="eastAsia"/>
          <w:b/>
          <w:shd w:val="pct15" w:color="auto" w:fill="FFFFFF"/>
        </w:rPr>
        <w:t>无合法有效驾驶证驾驶</w:t>
      </w:r>
      <w:r w:rsidRPr="003B685F">
        <w:rPr>
          <w:rFonts w:ascii="宋体" w:hAnsi="宋体"/>
          <w:b/>
          <w:shd w:val="pct15" w:color="auto" w:fill="FFFFFF"/>
          <w:vertAlign w:val="superscript"/>
        </w:rPr>
        <w:footnoteReference w:id="20"/>
      </w:r>
      <w:r w:rsidRPr="003B685F">
        <w:rPr>
          <w:rFonts w:ascii="宋体" w:hAnsi="宋体" w:hint="eastAsia"/>
          <w:shd w:val="pct15" w:color="auto" w:fill="FFFFFF"/>
        </w:rPr>
        <w:t>，或驾驶</w:t>
      </w:r>
      <w:r w:rsidRPr="003B685F">
        <w:rPr>
          <w:rFonts w:ascii="宋体" w:hAnsi="宋体" w:hint="eastAsia"/>
          <w:b/>
          <w:shd w:val="pct15" w:color="auto" w:fill="FFFFFF"/>
        </w:rPr>
        <w:t>无合法有效行驶证</w:t>
      </w:r>
      <w:r w:rsidRPr="003B685F">
        <w:rPr>
          <w:rFonts w:ascii="宋体" w:hAnsi="宋体"/>
          <w:b/>
          <w:shd w:val="pct15" w:color="auto" w:fill="FFFFFF"/>
          <w:vertAlign w:val="superscript"/>
        </w:rPr>
        <w:footnoteReference w:id="21"/>
      </w:r>
      <w:r w:rsidRPr="000037DF">
        <w:rPr>
          <w:rFonts w:ascii="宋体" w:hAnsi="宋体" w:hint="eastAsia"/>
          <w:shd w:val="pct15" w:color="auto" w:fill="FFFFFF"/>
        </w:rPr>
        <w:t>的</w:t>
      </w:r>
      <w:r w:rsidRPr="000037DF">
        <w:rPr>
          <w:rFonts w:ascii="宋体" w:hAnsi="宋体" w:hint="eastAsia"/>
          <w:b/>
          <w:shd w:val="pct15" w:color="auto" w:fill="FFFFFF"/>
        </w:rPr>
        <w:t>机动车</w:t>
      </w:r>
      <w:r w:rsidRPr="003B685F">
        <w:rPr>
          <w:rFonts w:ascii="宋体" w:hAnsi="宋体"/>
          <w:b/>
          <w:shd w:val="pct15" w:color="auto" w:fill="FFFFFF"/>
          <w:vertAlign w:val="superscript"/>
        </w:rPr>
        <w:footnoteReference w:id="22"/>
      </w:r>
      <w:r w:rsidRPr="003B685F">
        <w:rPr>
          <w:rFonts w:ascii="宋体" w:hAnsi="宋体" w:hint="eastAsia"/>
          <w:shd w:val="pct15" w:color="auto" w:fill="FFFFFF"/>
        </w:rPr>
        <w:t>；</w:t>
      </w:r>
    </w:p>
    <w:p w14:paraId="04A64C0B" w14:textId="77777777" w:rsidR="008F265F" w:rsidRPr="003B685F" w:rsidRDefault="00A542E4">
      <w:pPr>
        <w:widowControl/>
        <w:ind w:right="29" w:firstLineChars="199" w:firstLine="418"/>
        <w:rPr>
          <w:rFonts w:ascii="宋体" w:hAnsi="宋体"/>
          <w:bCs/>
          <w:color w:val="000000"/>
          <w:kern w:val="0"/>
          <w:szCs w:val="21"/>
          <w:shd w:val="pct15" w:color="auto" w:fill="FFFFFF"/>
        </w:rPr>
      </w:pPr>
      <w:r w:rsidRPr="003B685F">
        <w:rPr>
          <w:rFonts w:ascii="宋体" w:hAnsi="宋体" w:hint="eastAsia"/>
          <w:shd w:val="pct15" w:color="auto" w:fill="FFFFFF"/>
        </w:rPr>
        <w:t>六、</w:t>
      </w:r>
      <w:r w:rsidRPr="003B685F">
        <w:rPr>
          <w:rFonts w:ascii="宋体" w:hAnsi="宋体" w:hint="eastAsia"/>
          <w:bCs/>
          <w:color w:val="000000"/>
          <w:kern w:val="0"/>
          <w:szCs w:val="21"/>
          <w:shd w:val="pct15" w:color="auto" w:fill="FFFFFF"/>
        </w:rPr>
        <w:t>被保险人</w:t>
      </w:r>
      <w:r w:rsidRPr="003B685F">
        <w:rPr>
          <w:rFonts w:ascii="宋体" w:hAnsi="宋体"/>
          <w:b/>
          <w:bCs/>
          <w:color w:val="000000"/>
          <w:kern w:val="0"/>
          <w:szCs w:val="21"/>
          <w:shd w:val="pct15" w:color="auto" w:fill="FFFFFF"/>
        </w:rPr>
        <w:t>感染艾滋病病毒</w:t>
      </w:r>
      <w:r w:rsidRPr="003B685F">
        <w:rPr>
          <w:rFonts w:ascii="宋体" w:hAnsi="宋体" w:hint="eastAsia"/>
          <w:b/>
          <w:bCs/>
          <w:color w:val="000000"/>
          <w:kern w:val="0"/>
          <w:szCs w:val="21"/>
          <w:shd w:val="pct15" w:color="auto" w:fill="FFFFFF"/>
        </w:rPr>
        <w:t>或</w:t>
      </w:r>
      <w:r w:rsidRPr="003B685F">
        <w:rPr>
          <w:rFonts w:ascii="宋体" w:hAnsi="宋体"/>
          <w:b/>
          <w:bCs/>
          <w:color w:val="000000"/>
          <w:kern w:val="0"/>
          <w:szCs w:val="21"/>
          <w:shd w:val="pct15" w:color="auto" w:fill="FFFFFF"/>
        </w:rPr>
        <w:t>患艾滋病</w:t>
      </w:r>
      <w:r w:rsidRPr="003B685F">
        <w:rPr>
          <w:rStyle w:val="af3"/>
          <w:rFonts w:ascii="宋体" w:hAnsi="宋体"/>
          <w:b/>
          <w:bCs/>
          <w:color w:val="000000"/>
          <w:szCs w:val="21"/>
          <w:shd w:val="pct15" w:color="auto" w:fill="FFFFFF"/>
        </w:rPr>
        <w:footnoteReference w:id="23"/>
      </w:r>
      <w:r w:rsidRPr="003B685F">
        <w:rPr>
          <w:rFonts w:ascii="宋体" w:hAnsi="宋体" w:hint="eastAsia"/>
          <w:bCs/>
          <w:color w:val="000000"/>
          <w:kern w:val="0"/>
          <w:szCs w:val="21"/>
          <w:shd w:val="pct15" w:color="auto" w:fill="FFFFFF"/>
        </w:rPr>
        <w:t>，</w:t>
      </w:r>
      <w:r w:rsidRPr="003B685F">
        <w:rPr>
          <w:rFonts w:ascii="宋体" w:hAnsi="宋体" w:hint="eastAsia"/>
          <w:shd w:val="pct15" w:color="auto" w:fill="FFFFFF"/>
        </w:rPr>
        <w:t>但本主险合同另有约定的除外</w:t>
      </w:r>
      <w:r w:rsidRPr="003B685F">
        <w:rPr>
          <w:rFonts w:ascii="宋体" w:hAnsi="宋体" w:hint="eastAsia"/>
          <w:bCs/>
          <w:color w:val="000000"/>
          <w:kern w:val="0"/>
          <w:szCs w:val="21"/>
          <w:shd w:val="pct15" w:color="auto" w:fill="FFFFFF"/>
        </w:rPr>
        <w:t>；</w:t>
      </w:r>
    </w:p>
    <w:p w14:paraId="30CBB98B" w14:textId="77777777" w:rsidR="008F265F" w:rsidRPr="003B685F" w:rsidRDefault="00A542E4">
      <w:pPr>
        <w:widowControl/>
        <w:ind w:right="29" w:firstLineChars="196" w:firstLine="412"/>
        <w:rPr>
          <w:rFonts w:ascii="宋体" w:hAnsi="宋体"/>
          <w:shd w:val="pct15" w:color="auto" w:fill="FFFFFF"/>
        </w:rPr>
      </w:pPr>
      <w:r w:rsidRPr="003B685F">
        <w:rPr>
          <w:rFonts w:ascii="宋体" w:hAnsi="宋体"/>
          <w:shd w:val="pct15" w:color="auto" w:fill="FFFFFF"/>
        </w:rPr>
        <w:t>七</w:t>
      </w:r>
      <w:r w:rsidRPr="003B685F">
        <w:rPr>
          <w:rFonts w:ascii="宋体" w:hAnsi="宋体" w:hint="eastAsia"/>
          <w:shd w:val="pct15" w:color="auto" w:fill="FFFFFF"/>
        </w:rPr>
        <w:t>、</w:t>
      </w:r>
      <w:r w:rsidRPr="003B685F">
        <w:rPr>
          <w:rFonts w:ascii="宋体" w:hAnsi="宋体" w:hint="eastAsia"/>
          <w:b/>
          <w:shd w:val="pct15" w:color="auto" w:fill="FFFFFF"/>
        </w:rPr>
        <w:t>战争</w:t>
      </w:r>
      <w:r w:rsidRPr="003B685F">
        <w:rPr>
          <w:rStyle w:val="af3"/>
          <w:rFonts w:ascii="宋体" w:hAnsi="宋体"/>
          <w:b/>
          <w:shd w:val="pct15" w:color="auto" w:fill="FFFFFF"/>
        </w:rPr>
        <w:footnoteReference w:id="24"/>
      </w:r>
      <w:r w:rsidRPr="003B685F">
        <w:rPr>
          <w:rFonts w:ascii="宋体" w:hAnsi="宋体" w:hint="eastAsia"/>
          <w:shd w:val="pct15" w:color="auto" w:fill="FFFFFF"/>
        </w:rPr>
        <w:t>、</w:t>
      </w:r>
      <w:r w:rsidRPr="003B685F">
        <w:rPr>
          <w:rFonts w:ascii="宋体" w:hAnsi="宋体" w:hint="eastAsia"/>
          <w:b/>
          <w:shd w:val="pct15" w:color="auto" w:fill="FFFFFF"/>
        </w:rPr>
        <w:t>军事冲突</w:t>
      </w:r>
      <w:r w:rsidRPr="000037DF">
        <w:rPr>
          <w:rStyle w:val="af3"/>
          <w:rFonts w:ascii="宋体" w:hAnsi="宋体"/>
          <w:b/>
          <w:shd w:val="pct15" w:color="auto" w:fill="FFFFFF"/>
        </w:rPr>
        <w:footnoteReference w:id="25"/>
      </w:r>
      <w:r w:rsidRPr="003B685F">
        <w:rPr>
          <w:rFonts w:ascii="宋体" w:hAnsi="宋体" w:hint="eastAsia"/>
          <w:shd w:val="pct15" w:color="auto" w:fill="FFFFFF"/>
        </w:rPr>
        <w:t>、</w:t>
      </w:r>
      <w:r w:rsidRPr="003B685F">
        <w:rPr>
          <w:rFonts w:ascii="宋体" w:hAnsi="宋体" w:hint="eastAsia"/>
          <w:b/>
          <w:shd w:val="pct15" w:color="auto" w:fill="FFFFFF"/>
        </w:rPr>
        <w:t>暴乱</w:t>
      </w:r>
      <w:r w:rsidRPr="003B685F">
        <w:rPr>
          <w:rStyle w:val="af3"/>
          <w:rFonts w:ascii="宋体" w:hAnsi="宋体"/>
          <w:b/>
          <w:shd w:val="pct15" w:color="auto" w:fill="FFFFFF"/>
        </w:rPr>
        <w:footnoteReference w:id="26"/>
      </w:r>
      <w:r w:rsidRPr="003B685F">
        <w:rPr>
          <w:rFonts w:ascii="宋体" w:hAnsi="宋体" w:hint="eastAsia"/>
          <w:shd w:val="pct15" w:color="auto" w:fill="FFFFFF"/>
        </w:rPr>
        <w:t>或武装叛乱；</w:t>
      </w:r>
    </w:p>
    <w:p w14:paraId="4B672394" w14:textId="77777777" w:rsidR="008F265F" w:rsidRPr="003B685F" w:rsidRDefault="00A542E4">
      <w:pPr>
        <w:widowControl/>
        <w:ind w:right="29" w:firstLineChars="199" w:firstLine="418"/>
        <w:rPr>
          <w:rFonts w:ascii="宋体" w:hAnsi="宋体"/>
          <w:shd w:val="pct15" w:color="auto" w:fill="FFFFFF"/>
        </w:rPr>
      </w:pPr>
      <w:r w:rsidRPr="003B685F">
        <w:rPr>
          <w:rFonts w:ascii="宋体" w:hAnsi="宋体" w:hint="eastAsia"/>
          <w:shd w:val="pct15" w:color="auto" w:fill="FFFFFF"/>
        </w:rPr>
        <w:lastRenderedPageBreak/>
        <w:t>八、核爆炸、核辐射或核污染；</w:t>
      </w:r>
    </w:p>
    <w:p w14:paraId="4ECCCB31" w14:textId="77777777" w:rsidR="008F265F" w:rsidRPr="003B685F" w:rsidRDefault="00A542E4">
      <w:pPr>
        <w:widowControl/>
        <w:ind w:right="29" w:firstLineChars="199" w:firstLine="418"/>
        <w:rPr>
          <w:rFonts w:ascii="宋体" w:hAnsi="宋体"/>
          <w:shd w:val="pct15" w:color="auto" w:fill="FFFFFF"/>
        </w:rPr>
      </w:pPr>
      <w:r w:rsidRPr="003B685F">
        <w:rPr>
          <w:rFonts w:ascii="宋体" w:hAnsi="宋体"/>
          <w:shd w:val="pct15" w:color="auto" w:fill="FFFFFF"/>
        </w:rPr>
        <w:t>九、</w:t>
      </w:r>
      <w:r w:rsidRPr="003B685F">
        <w:rPr>
          <w:rFonts w:ascii="宋体" w:hAnsi="宋体"/>
          <w:b/>
          <w:shd w:val="pct15" w:color="auto" w:fill="FFFFFF"/>
        </w:rPr>
        <w:t>遗传性疾病</w:t>
      </w:r>
      <w:r w:rsidRPr="003B685F">
        <w:rPr>
          <w:rStyle w:val="af3"/>
          <w:rFonts w:ascii="宋体" w:hAnsi="宋体"/>
          <w:b/>
          <w:shd w:val="pct15" w:color="auto" w:fill="FFFFFF"/>
        </w:rPr>
        <w:footnoteReference w:id="27"/>
      </w:r>
      <w:r w:rsidRPr="003B685F">
        <w:rPr>
          <w:rFonts w:ascii="宋体" w:hAnsi="宋体"/>
          <w:shd w:val="pct15" w:color="auto" w:fill="FFFFFF"/>
        </w:rPr>
        <w:t>，</w:t>
      </w:r>
      <w:r w:rsidRPr="003B685F">
        <w:rPr>
          <w:rFonts w:ascii="宋体" w:hAnsi="宋体"/>
          <w:b/>
          <w:shd w:val="pct15" w:color="auto" w:fill="FFFFFF"/>
        </w:rPr>
        <w:t>先天性畸形、变形或染色体异常</w:t>
      </w:r>
      <w:r w:rsidRPr="003B685F">
        <w:rPr>
          <w:rStyle w:val="af3"/>
          <w:rFonts w:ascii="宋体" w:hAnsi="宋体"/>
          <w:b/>
          <w:shd w:val="pct15" w:color="auto" w:fill="FFFFFF"/>
        </w:rPr>
        <w:footnoteReference w:id="28"/>
      </w:r>
      <w:r w:rsidRPr="003B685F">
        <w:rPr>
          <w:rFonts w:ascii="宋体" w:hAnsi="宋体" w:hint="eastAsia"/>
          <w:shd w:val="pct15" w:color="auto" w:fill="FFFFFF"/>
        </w:rPr>
        <w:t>，但本主险合同另有约定的除外。</w:t>
      </w:r>
    </w:p>
    <w:p w14:paraId="5CEBAEB1" w14:textId="77777777" w:rsidR="008F265F" w:rsidRPr="003B685F" w:rsidRDefault="00A542E4">
      <w:pPr>
        <w:pStyle w:val="Default"/>
        <w:spacing w:beforeLines="50" w:before="156"/>
        <w:ind w:right="23" w:firstLineChars="199" w:firstLine="418"/>
        <w:jc w:val="both"/>
        <w:rPr>
          <w:rFonts w:hAnsi="宋体"/>
          <w:color w:val="auto"/>
          <w:kern w:val="2"/>
          <w:sz w:val="21"/>
          <w:shd w:val="pct15" w:color="auto" w:fill="FFFFFF"/>
        </w:rPr>
      </w:pPr>
      <w:r w:rsidRPr="003B685F">
        <w:rPr>
          <w:rFonts w:hAnsi="宋体" w:hint="eastAsia"/>
          <w:color w:val="auto"/>
          <w:kern w:val="2"/>
          <w:sz w:val="21"/>
          <w:shd w:val="pct15" w:color="auto" w:fill="FFFFFF"/>
        </w:rPr>
        <w:t>发生上述第一项情形导致被保险人身故的，本主险合同终止，我们向</w:t>
      </w:r>
      <w:r w:rsidRPr="003B685F">
        <w:rPr>
          <w:rFonts w:hAnsi="宋体"/>
          <w:color w:val="auto"/>
          <w:kern w:val="2"/>
          <w:sz w:val="21"/>
          <w:shd w:val="pct15" w:color="auto" w:fill="FFFFFF"/>
        </w:rPr>
        <w:t>被保险人的继承人</w:t>
      </w:r>
      <w:r w:rsidRPr="003B685F">
        <w:rPr>
          <w:rFonts w:hAnsi="宋体" w:hint="eastAsia"/>
          <w:color w:val="auto"/>
          <w:kern w:val="2"/>
          <w:sz w:val="21"/>
          <w:shd w:val="pct15" w:color="auto" w:fill="FFFFFF"/>
        </w:rPr>
        <w:t>（除</w:t>
      </w:r>
      <w:r w:rsidRPr="003B685F">
        <w:rPr>
          <w:rFonts w:hAnsi="宋体"/>
          <w:color w:val="auto"/>
          <w:kern w:val="2"/>
          <w:sz w:val="21"/>
          <w:shd w:val="pct15" w:color="auto" w:fill="FFFFFF"/>
        </w:rPr>
        <w:t>投保人</w:t>
      </w:r>
      <w:r w:rsidRPr="003B685F">
        <w:rPr>
          <w:rFonts w:hAnsi="宋体" w:hint="eastAsia"/>
          <w:color w:val="auto"/>
          <w:kern w:val="2"/>
          <w:sz w:val="21"/>
          <w:shd w:val="pct15" w:color="auto" w:fill="FFFFFF"/>
        </w:rPr>
        <w:t>本人</w:t>
      </w:r>
      <w:r w:rsidRPr="003B685F">
        <w:rPr>
          <w:rFonts w:hAnsi="宋体"/>
          <w:color w:val="auto"/>
          <w:kern w:val="2"/>
          <w:sz w:val="21"/>
          <w:shd w:val="pct15" w:color="auto" w:fill="FFFFFF"/>
        </w:rPr>
        <w:t>外</w:t>
      </w:r>
      <w:r w:rsidRPr="003B685F">
        <w:rPr>
          <w:rFonts w:hAnsi="宋体" w:hint="eastAsia"/>
          <w:color w:val="auto"/>
          <w:kern w:val="2"/>
          <w:sz w:val="21"/>
          <w:shd w:val="pct15" w:color="auto" w:fill="FFFFFF"/>
        </w:rPr>
        <w:t>）退还本主险合同的</w:t>
      </w:r>
      <w:r w:rsidRPr="003B685F">
        <w:rPr>
          <w:rFonts w:hAnsi="宋体" w:cs="宋体"/>
          <w:sz w:val="21"/>
          <w:szCs w:val="21"/>
          <w:shd w:val="pct15" w:color="auto" w:fill="FFFFFF"/>
        </w:rPr>
        <w:t>现金价值</w:t>
      </w:r>
      <w:r w:rsidRPr="003B685F">
        <w:rPr>
          <w:rFonts w:hAnsi="宋体"/>
          <w:color w:val="auto"/>
          <w:kern w:val="2"/>
          <w:sz w:val="21"/>
          <w:shd w:val="pct15" w:color="auto" w:fill="FFFFFF"/>
        </w:rPr>
        <w:t>。</w:t>
      </w:r>
    </w:p>
    <w:p w14:paraId="58999E3B" w14:textId="77777777" w:rsidR="008F265F" w:rsidRPr="003B685F" w:rsidRDefault="00A542E4">
      <w:pPr>
        <w:pStyle w:val="Default"/>
        <w:spacing w:beforeLines="50" w:before="156"/>
        <w:ind w:right="23" w:firstLineChars="199" w:firstLine="418"/>
        <w:jc w:val="both"/>
        <w:rPr>
          <w:rFonts w:hAnsi="宋体"/>
          <w:color w:val="auto"/>
          <w:kern w:val="2"/>
          <w:sz w:val="21"/>
          <w:shd w:val="pct15" w:color="auto" w:fill="FFFFFF"/>
        </w:rPr>
      </w:pPr>
      <w:r w:rsidRPr="003B685F">
        <w:rPr>
          <w:rFonts w:hAnsi="宋体" w:hint="eastAsia"/>
          <w:color w:val="auto"/>
          <w:kern w:val="2"/>
          <w:sz w:val="21"/>
          <w:shd w:val="pct15" w:color="auto" w:fill="FFFFFF"/>
        </w:rPr>
        <w:t>发生上述第一项情形</w:t>
      </w:r>
      <w:r w:rsidRPr="003B685F">
        <w:rPr>
          <w:rFonts w:hAnsi="宋体"/>
          <w:color w:val="auto"/>
          <w:kern w:val="2"/>
          <w:sz w:val="21"/>
          <w:shd w:val="pct15" w:color="auto" w:fill="FFFFFF"/>
        </w:rPr>
        <w:t>导致被保险人发生轻症疾病</w:t>
      </w:r>
      <w:r w:rsidRPr="003B685F">
        <w:rPr>
          <w:rFonts w:hAnsi="宋体" w:hint="eastAsia"/>
          <w:color w:val="auto"/>
          <w:kern w:val="2"/>
          <w:sz w:val="21"/>
          <w:shd w:val="pct15" w:color="auto" w:fill="FFFFFF"/>
        </w:rPr>
        <w:t>、</w:t>
      </w:r>
      <w:r w:rsidRPr="003B685F">
        <w:rPr>
          <w:rFonts w:hAnsi="宋体"/>
          <w:color w:val="auto"/>
          <w:kern w:val="2"/>
          <w:sz w:val="21"/>
          <w:shd w:val="pct15" w:color="auto" w:fill="FFFFFF"/>
        </w:rPr>
        <w:t>中症疾病</w:t>
      </w:r>
      <w:r w:rsidRPr="003B685F">
        <w:rPr>
          <w:rFonts w:hAnsi="宋体" w:hint="eastAsia"/>
          <w:color w:val="auto"/>
          <w:kern w:val="2"/>
          <w:sz w:val="21"/>
          <w:shd w:val="pct15" w:color="auto" w:fill="FFFFFF"/>
        </w:rPr>
        <w:t>、</w:t>
      </w:r>
      <w:r w:rsidRPr="003B685F">
        <w:rPr>
          <w:rFonts w:hAnsi="宋体"/>
          <w:color w:val="auto"/>
          <w:kern w:val="2"/>
          <w:sz w:val="21"/>
          <w:shd w:val="pct15" w:color="auto" w:fill="FFFFFF"/>
        </w:rPr>
        <w:t>重大疾</w:t>
      </w:r>
      <w:r w:rsidRPr="003B685F">
        <w:rPr>
          <w:rFonts w:hAnsi="宋体" w:cs="宋体"/>
          <w:sz w:val="21"/>
          <w:szCs w:val="21"/>
          <w:shd w:val="pct15" w:color="auto" w:fill="FFFFFF"/>
        </w:rPr>
        <w:t>病</w:t>
      </w:r>
      <w:r w:rsidRPr="003B685F">
        <w:rPr>
          <w:rFonts w:hAnsi="宋体" w:cs="宋体" w:hint="eastAsia"/>
          <w:sz w:val="21"/>
          <w:szCs w:val="21"/>
          <w:shd w:val="pct15" w:color="auto" w:fill="FFFFFF"/>
        </w:rPr>
        <w:t>、少儿特定疾病、少儿罕见疾病</w:t>
      </w:r>
      <w:r w:rsidRPr="003B685F">
        <w:rPr>
          <w:rFonts w:hAnsi="宋体" w:cs="宋体"/>
          <w:sz w:val="21"/>
          <w:szCs w:val="21"/>
          <w:shd w:val="pct15" w:color="auto" w:fill="FFFFFF"/>
        </w:rPr>
        <w:t>或全残的，本主险合同终止，我们</w:t>
      </w:r>
      <w:r w:rsidRPr="003B685F">
        <w:rPr>
          <w:rFonts w:hAnsi="宋体" w:cs="宋体" w:hint="eastAsia"/>
          <w:sz w:val="21"/>
          <w:szCs w:val="21"/>
          <w:shd w:val="pct15" w:color="auto" w:fill="FFFFFF"/>
        </w:rPr>
        <w:t>向被保险人退还</w:t>
      </w:r>
      <w:r w:rsidRPr="003B685F">
        <w:rPr>
          <w:rFonts w:hAnsi="宋体" w:cs="宋体"/>
          <w:sz w:val="21"/>
          <w:szCs w:val="21"/>
          <w:shd w:val="pct15" w:color="auto" w:fill="FFFFFF"/>
        </w:rPr>
        <w:t>本主险合同的现金价</w:t>
      </w:r>
      <w:r w:rsidRPr="003B685F">
        <w:rPr>
          <w:rFonts w:hAnsi="宋体"/>
          <w:color w:val="auto"/>
          <w:kern w:val="2"/>
          <w:sz w:val="21"/>
          <w:shd w:val="pct15" w:color="auto" w:fill="FFFFFF"/>
        </w:rPr>
        <w:t>值。</w:t>
      </w:r>
    </w:p>
    <w:p w14:paraId="185826C9" w14:textId="77777777" w:rsidR="008F265F" w:rsidRPr="003B685F" w:rsidRDefault="00A542E4">
      <w:pPr>
        <w:spacing w:beforeLines="50" w:before="156"/>
        <w:ind w:firstLineChars="194" w:firstLine="407"/>
        <w:rPr>
          <w:rFonts w:ascii="宋体" w:hAnsi="宋体"/>
          <w:shd w:val="pct15" w:color="auto" w:fill="FFFFFF"/>
        </w:rPr>
      </w:pPr>
      <w:r w:rsidRPr="003B685F">
        <w:rPr>
          <w:rFonts w:ascii="宋体" w:hAnsi="宋体" w:hint="eastAsia"/>
          <w:shd w:val="pct15" w:color="auto" w:fill="FFFFFF"/>
        </w:rPr>
        <w:t>发生上述其他情形</w:t>
      </w:r>
      <w:r w:rsidRPr="003B685F">
        <w:rPr>
          <w:rFonts w:ascii="宋体" w:hAnsi="宋体"/>
          <w:shd w:val="pct15" w:color="auto" w:fill="FFFFFF"/>
        </w:rPr>
        <w:t>导致被保险人发生轻症疾病</w:t>
      </w:r>
      <w:r w:rsidRPr="003B685F">
        <w:rPr>
          <w:rFonts w:ascii="宋体" w:hAnsi="宋体" w:hint="eastAsia"/>
          <w:shd w:val="pct15" w:color="auto" w:fill="FFFFFF"/>
        </w:rPr>
        <w:t>、</w:t>
      </w:r>
      <w:r w:rsidRPr="003B685F">
        <w:rPr>
          <w:rFonts w:ascii="宋体" w:hAnsi="宋体"/>
          <w:shd w:val="pct15" w:color="auto" w:fill="FFFFFF"/>
        </w:rPr>
        <w:t>中症疾病</w:t>
      </w:r>
      <w:r w:rsidRPr="003B685F">
        <w:rPr>
          <w:rFonts w:ascii="宋体" w:hAnsi="宋体" w:hint="eastAsia"/>
          <w:shd w:val="pct15" w:color="auto" w:fill="FFFFFF"/>
        </w:rPr>
        <w:t>、</w:t>
      </w:r>
      <w:r w:rsidRPr="003B685F">
        <w:rPr>
          <w:rFonts w:ascii="宋体" w:hAnsi="宋体"/>
          <w:shd w:val="pct15" w:color="auto" w:fill="FFFFFF"/>
        </w:rPr>
        <w:t>重大疾病</w:t>
      </w:r>
      <w:r w:rsidRPr="003B685F">
        <w:rPr>
          <w:rFonts w:hAnsi="宋体" w:cs="宋体" w:hint="eastAsia"/>
          <w:color w:val="000000"/>
          <w:kern w:val="0"/>
          <w:szCs w:val="21"/>
          <w:shd w:val="pct15" w:color="auto" w:fill="FFFFFF"/>
        </w:rPr>
        <w:t>、</w:t>
      </w:r>
      <w:r w:rsidRPr="003B685F">
        <w:rPr>
          <w:rFonts w:ascii="宋体" w:hAnsi="宋体" w:cs="宋体" w:hint="eastAsia"/>
          <w:szCs w:val="21"/>
          <w:shd w:val="pct15" w:color="auto" w:fill="FFFFFF"/>
        </w:rPr>
        <w:t>少儿特定疾病、少儿罕见疾病</w:t>
      </w:r>
      <w:r w:rsidRPr="003B685F">
        <w:rPr>
          <w:rFonts w:ascii="宋体" w:hAnsi="宋体" w:hint="eastAsia"/>
          <w:shd w:val="pct15" w:color="auto" w:fill="FFFFFF"/>
        </w:rPr>
        <w:t>、身故或全残的，本主险合同终止，我们向您退还本主险合同的现金价值</w:t>
      </w:r>
      <w:r w:rsidRPr="003B685F">
        <w:rPr>
          <w:rFonts w:ascii="宋体" w:hAnsi="宋体"/>
          <w:shd w:val="pct15" w:color="auto" w:fill="FFFFFF"/>
        </w:rPr>
        <w:t>。</w:t>
      </w:r>
    </w:p>
    <w:p w14:paraId="08D4AF56" w14:textId="77777777" w:rsidR="008F265F" w:rsidRDefault="00A542E4">
      <w:pPr>
        <w:numPr>
          <w:ilvl w:val="0"/>
          <w:numId w:val="1"/>
        </w:numPr>
        <w:spacing w:beforeLines="100" w:before="312"/>
        <w:ind w:left="902" w:hanging="902"/>
        <w:rPr>
          <w:rFonts w:ascii="宋体" w:hAnsi="宋体"/>
          <w:b/>
          <w:bCs/>
          <w:color w:val="000000" w:themeColor="text1"/>
        </w:rPr>
      </w:pPr>
      <w:r>
        <w:rPr>
          <w:rFonts w:ascii="宋体" w:hAnsi="宋体" w:hint="eastAsia"/>
          <w:b/>
          <w:bCs/>
          <w:color w:val="000000" w:themeColor="text1"/>
        </w:rPr>
        <w:t>其他免责条款</w:t>
      </w:r>
    </w:p>
    <w:p w14:paraId="62572033" w14:textId="2A4D4CFB" w:rsidR="008F265F" w:rsidRPr="003B685F" w:rsidRDefault="00A542E4">
      <w:pPr>
        <w:pStyle w:val="Default"/>
        <w:spacing w:beforeLines="50" w:before="156"/>
        <w:ind w:right="23" w:firstLineChars="199" w:firstLine="418"/>
        <w:jc w:val="both"/>
        <w:rPr>
          <w:rFonts w:hAnsi="宋体"/>
          <w:shd w:val="pct15" w:color="auto" w:fill="FFFFFF"/>
        </w:rPr>
      </w:pPr>
      <w:r w:rsidRPr="003B685F">
        <w:rPr>
          <w:rFonts w:hAnsi="宋体" w:hint="eastAsia"/>
          <w:bCs/>
          <w:color w:val="auto"/>
          <w:kern w:val="2"/>
          <w:sz w:val="21"/>
          <w:shd w:val="pct15" w:color="auto" w:fill="FFFFFF"/>
        </w:rPr>
        <w:t>除本条款“第五条 责任免除”外，本主险合同中还有一些免除我们责任的条款，详见以下条款</w:t>
      </w:r>
      <w:r w:rsidRPr="003B685F">
        <w:rPr>
          <w:rFonts w:hAnsi="宋体" w:hint="eastAsia"/>
          <w:sz w:val="21"/>
          <w:szCs w:val="21"/>
          <w:shd w:val="pct15" w:color="auto" w:fill="FFFFFF"/>
        </w:rPr>
        <w:t>中背景突出显示的内容：</w:t>
      </w:r>
      <w:r w:rsidRPr="003B685F">
        <w:rPr>
          <w:rFonts w:hAnsi="宋体" w:hint="eastAsia"/>
          <w:bCs/>
          <w:color w:val="auto"/>
          <w:kern w:val="2"/>
          <w:sz w:val="21"/>
          <w:shd w:val="pct15" w:color="auto" w:fill="FFFFFF"/>
        </w:rPr>
        <w:t>“第二条 保险责任”、“第九条</w:t>
      </w:r>
      <w:r w:rsidRPr="003B685F">
        <w:rPr>
          <w:rFonts w:hAnsi="宋体"/>
          <w:bCs/>
          <w:color w:val="auto"/>
          <w:kern w:val="2"/>
          <w:sz w:val="21"/>
          <w:shd w:val="pct15" w:color="auto" w:fill="FFFFFF"/>
        </w:rPr>
        <w:t xml:space="preserve"> </w:t>
      </w:r>
      <w:r w:rsidRPr="003B685F">
        <w:rPr>
          <w:rFonts w:hAnsi="宋体" w:hint="eastAsia"/>
          <w:bCs/>
          <w:color w:val="auto"/>
          <w:kern w:val="2"/>
          <w:sz w:val="21"/>
          <w:shd w:val="pct15" w:color="auto" w:fill="FFFFFF"/>
        </w:rPr>
        <w:t>效力中止与恢复”、“</w:t>
      </w:r>
      <w:r w:rsidRPr="003B685F">
        <w:rPr>
          <w:rFonts w:hAnsi="宋体" w:hint="eastAsia"/>
          <w:sz w:val="21"/>
          <w:szCs w:val="21"/>
          <w:shd w:val="pct15" w:color="auto" w:fill="FFFFFF"/>
        </w:rPr>
        <w:t>第十一条</w:t>
      </w:r>
      <w:r w:rsidRPr="003B685F">
        <w:rPr>
          <w:rFonts w:hAnsi="宋体"/>
          <w:sz w:val="21"/>
          <w:szCs w:val="21"/>
          <w:shd w:val="pct15" w:color="auto" w:fill="FFFFFF"/>
        </w:rPr>
        <w:t xml:space="preserve"> </w:t>
      </w:r>
      <w:r w:rsidRPr="003B685F">
        <w:rPr>
          <w:rFonts w:hAnsi="宋体" w:hint="eastAsia"/>
          <w:sz w:val="21"/>
          <w:szCs w:val="21"/>
          <w:shd w:val="pct15" w:color="auto" w:fill="FFFFFF"/>
        </w:rPr>
        <w:t>保险事故通知”、</w:t>
      </w:r>
      <w:r w:rsidRPr="003B685F">
        <w:rPr>
          <w:rFonts w:hAnsi="宋体" w:hint="eastAsia"/>
          <w:bCs/>
          <w:color w:val="auto"/>
          <w:kern w:val="2"/>
          <w:sz w:val="21"/>
          <w:shd w:val="pct15" w:color="auto" w:fill="FFFFFF"/>
        </w:rPr>
        <w:t>“第十五条 犹豫期”、“第二十四条 年龄</w:t>
      </w:r>
      <w:r w:rsidRPr="003B685F">
        <w:rPr>
          <w:rFonts w:hAnsi="宋体"/>
          <w:bCs/>
          <w:color w:val="auto"/>
          <w:kern w:val="2"/>
          <w:sz w:val="21"/>
          <w:shd w:val="pct15" w:color="auto" w:fill="FFFFFF"/>
        </w:rPr>
        <w:t>性别</w:t>
      </w:r>
      <w:r w:rsidRPr="003B685F">
        <w:rPr>
          <w:rFonts w:hAnsi="宋体" w:hint="eastAsia"/>
          <w:bCs/>
          <w:color w:val="auto"/>
          <w:kern w:val="2"/>
          <w:sz w:val="21"/>
          <w:shd w:val="pct15" w:color="auto" w:fill="FFFFFF"/>
        </w:rPr>
        <w:t>错误的处理”、“第二十</w:t>
      </w:r>
      <w:r w:rsidRPr="003B685F">
        <w:rPr>
          <w:rFonts w:hAnsi="宋体"/>
          <w:bCs/>
          <w:color w:val="auto"/>
          <w:kern w:val="2"/>
          <w:sz w:val="21"/>
          <w:shd w:val="pct15" w:color="auto" w:fill="FFFFFF"/>
        </w:rPr>
        <w:t>九</w:t>
      </w:r>
      <w:r w:rsidRPr="003B685F">
        <w:rPr>
          <w:rFonts w:hAnsi="宋体" w:hint="eastAsia"/>
          <w:bCs/>
          <w:color w:val="auto"/>
          <w:kern w:val="2"/>
          <w:sz w:val="21"/>
          <w:shd w:val="pct15" w:color="auto" w:fill="FFFFFF"/>
        </w:rPr>
        <w:t xml:space="preserve">条 </w:t>
      </w:r>
      <w:r w:rsidRPr="003B685F">
        <w:rPr>
          <w:rFonts w:hAnsi="宋体"/>
          <w:bCs/>
          <w:color w:val="auto"/>
          <w:kern w:val="2"/>
          <w:sz w:val="21"/>
          <w:shd w:val="pct15" w:color="auto" w:fill="FFFFFF"/>
        </w:rPr>
        <w:t>轻症疾病</w:t>
      </w:r>
      <w:r w:rsidRPr="003B685F">
        <w:rPr>
          <w:rFonts w:hAnsi="宋体" w:hint="eastAsia"/>
          <w:bCs/>
          <w:color w:val="auto"/>
          <w:kern w:val="2"/>
          <w:sz w:val="21"/>
          <w:shd w:val="pct15" w:color="auto" w:fill="FFFFFF"/>
        </w:rPr>
        <w:t>的定义”、</w:t>
      </w:r>
      <w:r w:rsidRPr="003B685F">
        <w:rPr>
          <w:rFonts w:hAnsi="宋体" w:hint="eastAsia"/>
          <w:bCs/>
          <w:color w:val="auto"/>
          <w:kern w:val="2"/>
          <w:sz w:val="21"/>
          <w:shd w:val="pct15" w:color="auto" w:fill="FFFFFF"/>
        </w:rPr>
        <w:lastRenderedPageBreak/>
        <w:t xml:space="preserve">“第三十条 </w:t>
      </w:r>
      <w:r w:rsidRPr="003B685F">
        <w:rPr>
          <w:rFonts w:hAnsi="宋体"/>
          <w:bCs/>
          <w:color w:val="auto"/>
          <w:kern w:val="2"/>
          <w:sz w:val="21"/>
          <w:shd w:val="pct15" w:color="auto" w:fill="FFFFFF"/>
        </w:rPr>
        <w:t>中症疾病</w:t>
      </w:r>
      <w:r w:rsidRPr="003B685F">
        <w:rPr>
          <w:rFonts w:hAnsi="宋体" w:hint="eastAsia"/>
          <w:bCs/>
          <w:color w:val="auto"/>
          <w:kern w:val="2"/>
          <w:sz w:val="21"/>
          <w:shd w:val="pct15" w:color="auto" w:fill="FFFFFF"/>
        </w:rPr>
        <w:t>的定义”、“第三十一条 重大疾病的定义”、“第三十二条 少儿特定疾病的定义”、“第三十三条 少儿罕见疾病的定义”、“脚注</w:t>
      </w:r>
      <w:r w:rsidRPr="003B685F">
        <w:rPr>
          <w:rFonts w:hAnsi="宋体"/>
          <w:bCs/>
          <w:color w:val="auto"/>
          <w:kern w:val="2"/>
          <w:sz w:val="21"/>
          <w:shd w:val="pct15" w:color="auto" w:fill="FFFFFF"/>
        </w:rPr>
        <w:t xml:space="preserve">2 </w:t>
      </w:r>
      <w:r w:rsidRPr="003B685F">
        <w:rPr>
          <w:rFonts w:hAnsi="宋体" w:hint="eastAsia"/>
          <w:bCs/>
          <w:color w:val="auto"/>
          <w:kern w:val="2"/>
          <w:sz w:val="21"/>
          <w:shd w:val="pct15" w:color="auto" w:fill="FFFFFF"/>
        </w:rPr>
        <w:t>全残”、“脚注</w:t>
      </w:r>
      <w:r w:rsidRPr="003B685F">
        <w:rPr>
          <w:rFonts w:hAnsi="宋体"/>
          <w:bCs/>
          <w:color w:val="auto"/>
          <w:kern w:val="2"/>
          <w:sz w:val="21"/>
          <w:shd w:val="pct15" w:color="auto" w:fill="FFFFFF"/>
        </w:rPr>
        <w:t>5</w:t>
      </w:r>
      <w:r w:rsidRPr="003B685F">
        <w:rPr>
          <w:rFonts w:hAnsi="宋体" w:hint="eastAsia"/>
          <w:bCs/>
          <w:color w:val="auto"/>
          <w:kern w:val="2"/>
          <w:sz w:val="21"/>
          <w:shd w:val="pct15" w:color="auto" w:fill="FFFFFF"/>
        </w:rPr>
        <w:t xml:space="preserve"> 我们认可的医院”、</w:t>
      </w:r>
      <w:r w:rsidR="00F418F5" w:rsidRPr="003B685F">
        <w:rPr>
          <w:rFonts w:hAnsi="宋体" w:hint="eastAsia"/>
          <w:bCs/>
          <w:color w:val="auto"/>
          <w:kern w:val="2"/>
          <w:sz w:val="21"/>
          <w:shd w:val="pct15" w:color="auto" w:fill="FFFFFF"/>
        </w:rPr>
        <w:t>“脚注</w:t>
      </w:r>
      <w:r w:rsidR="00F418F5" w:rsidRPr="003B685F">
        <w:rPr>
          <w:rFonts w:hAnsi="宋体"/>
          <w:bCs/>
          <w:color w:val="auto"/>
          <w:kern w:val="2"/>
          <w:sz w:val="21"/>
          <w:shd w:val="pct15" w:color="auto" w:fill="FFFFFF"/>
        </w:rPr>
        <w:t>14</w:t>
      </w:r>
      <w:r w:rsidR="00F418F5" w:rsidRPr="003B685F">
        <w:rPr>
          <w:rFonts w:hAnsi="宋体" w:hint="eastAsia"/>
          <w:bCs/>
          <w:color w:val="auto"/>
          <w:kern w:val="2"/>
          <w:sz w:val="21"/>
          <w:shd w:val="pct15" w:color="auto" w:fill="FFFFFF"/>
        </w:rPr>
        <w:t xml:space="preserve"> 恶性肿瘤持续存在”、</w:t>
      </w:r>
      <w:r w:rsidRPr="003B685F">
        <w:rPr>
          <w:rFonts w:hAnsi="宋体" w:hint="eastAsia"/>
          <w:bCs/>
          <w:color w:val="auto"/>
          <w:kern w:val="2"/>
          <w:sz w:val="21"/>
          <w:shd w:val="pct15" w:color="auto" w:fill="FFFFFF"/>
        </w:rPr>
        <w:t>“脚注</w:t>
      </w:r>
      <w:r w:rsidRPr="003B685F">
        <w:rPr>
          <w:rFonts w:hAnsi="宋体"/>
          <w:bCs/>
          <w:color w:val="auto"/>
          <w:kern w:val="2"/>
          <w:sz w:val="21"/>
          <w:shd w:val="pct15" w:color="auto" w:fill="FFFFFF"/>
        </w:rPr>
        <w:t xml:space="preserve">39 </w:t>
      </w:r>
      <w:r w:rsidRPr="003B685F">
        <w:rPr>
          <w:rFonts w:hAnsi="宋体" w:hint="eastAsia"/>
          <w:bCs/>
          <w:color w:val="auto"/>
          <w:kern w:val="2"/>
          <w:sz w:val="21"/>
          <w:shd w:val="pct15" w:color="auto" w:fill="FFFFFF"/>
        </w:rPr>
        <w:t>六项</w:t>
      </w:r>
      <w:r w:rsidRPr="003B685F">
        <w:rPr>
          <w:rFonts w:hAnsi="宋体"/>
          <w:bCs/>
          <w:color w:val="auto"/>
          <w:kern w:val="2"/>
          <w:sz w:val="21"/>
          <w:shd w:val="pct15" w:color="auto" w:fill="FFFFFF"/>
        </w:rPr>
        <w:t>基本日常生活活动</w:t>
      </w:r>
      <w:r w:rsidRPr="003B685F">
        <w:rPr>
          <w:rFonts w:hAnsi="宋体" w:hint="eastAsia"/>
          <w:bCs/>
          <w:color w:val="auto"/>
          <w:kern w:val="2"/>
          <w:sz w:val="21"/>
          <w:shd w:val="pct15" w:color="auto" w:fill="FFFFFF"/>
        </w:rPr>
        <w:t>”。</w:t>
      </w:r>
      <w:bookmarkEnd w:id="2"/>
      <w:bookmarkEnd w:id="3"/>
    </w:p>
    <w:p w14:paraId="437B39F1" w14:textId="77777777" w:rsidR="008F265F" w:rsidRDefault="00A542E4">
      <w:pPr>
        <w:pStyle w:val="af4"/>
        <w:spacing w:before="468"/>
        <w:rPr>
          <w:sz w:val="24"/>
        </w:rPr>
      </w:pPr>
      <w:r>
        <w:rPr>
          <w:rFonts w:hint="eastAsia"/>
          <w:sz w:val="24"/>
        </w:rPr>
        <w:t>第三章  如何支付保险费</w:t>
      </w:r>
    </w:p>
    <w:p w14:paraId="696A9E3A" w14:textId="77777777" w:rsidR="008F265F" w:rsidRDefault="00A542E4">
      <w:pPr>
        <w:pStyle w:val="af4"/>
        <w:spacing w:beforeLines="50" w:before="156"/>
        <w:rPr>
          <w:rFonts w:eastAsia="楷体"/>
          <w:b w:val="0"/>
        </w:rPr>
      </w:pPr>
      <w:r>
        <w:rPr>
          <w:rFonts w:eastAsia="楷体"/>
          <w:b w:val="0"/>
        </w:rPr>
        <w:t>这部分讲的是您应当按时交纳保险费</w:t>
      </w:r>
      <w:r>
        <w:rPr>
          <w:rFonts w:eastAsia="楷体" w:hint="eastAsia"/>
          <w:b w:val="0"/>
        </w:rPr>
        <w:t>，</w:t>
      </w:r>
      <w:r>
        <w:rPr>
          <w:rFonts w:eastAsia="楷体"/>
          <w:b w:val="0"/>
        </w:rPr>
        <w:t>如果不及时交费可能会导致合同效力中止</w:t>
      </w:r>
      <w:r>
        <w:rPr>
          <w:rFonts w:eastAsia="楷体" w:hint="eastAsia"/>
          <w:b w:val="0"/>
        </w:rPr>
        <w:t>。</w:t>
      </w:r>
    </w:p>
    <w:p w14:paraId="3A450271" w14:textId="77777777" w:rsidR="008F265F" w:rsidRDefault="00992274">
      <w:pPr>
        <w:pStyle w:val="af4"/>
        <w:spacing w:beforeLines="0"/>
        <w:jc w:val="both"/>
        <w:rPr>
          <w:rFonts w:eastAsia="楷体"/>
          <w:b w:val="0"/>
        </w:rPr>
      </w:pPr>
      <w:r>
        <w:rPr>
          <w:rFonts w:eastAsia="楷体"/>
          <w:b w:val="0"/>
        </w:rPr>
        <w:pict w14:anchorId="04F140D3">
          <v:rect id="_x0000_i1027" style="width:453.6pt;height:1pt" o:hralign="center" o:hrstd="t" o:hrnoshade="t" o:hr="t" fillcolor="black" stroked="f"/>
        </w:pict>
      </w:r>
    </w:p>
    <w:p w14:paraId="49C3E786" w14:textId="77777777" w:rsidR="008F265F" w:rsidRDefault="00A542E4">
      <w:pPr>
        <w:numPr>
          <w:ilvl w:val="0"/>
          <w:numId w:val="1"/>
        </w:numPr>
        <w:spacing w:beforeLines="100" w:before="312"/>
        <w:ind w:left="902" w:hanging="902"/>
        <w:rPr>
          <w:rFonts w:ascii="宋体" w:hAnsi="宋体"/>
          <w:b/>
          <w:bCs/>
        </w:rPr>
      </w:pPr>
      <w:r>
        <w:rPr>
          <w:rFonts w:ascii="宋体" w:hAnsi="宋体"/>
          <w:b/>
          <w:bCs/>
        </w:rPr>
        <w:t>保险费的支付</w:t>
      </w:r>
    </w:p>
    <w:p w14:paraId="7B95EBA6" w14:textId="77777777" w:rsidR="008F265F" w:rsidRDefault="00A542E4">
      <w:pPr>
        <w:pStyle w:val="af5"/>
        <w:spacing w:before="156"/>
      </w:pPr>
      <w:r>
        <w:rPr>
          <w:rFonts w:hint="eastAsia"/>
        </w:rPr>
        <w:t>本主险合同保险费的交费方式和交费期间由您与我们约定并在保险单上载明。分期支付保险费的，在支付首期保险费后，您应当在每个</w:t>
      </w:r>
      <w:r>
        <w:rPr>
          <w:rFonts w:cs="宋体"/>
          <w:b/>
          <w:kern w:val="0"/>
          <w:szCs w:val="21"/>
        </w:rPr>
        <w:t>保险费约定</w:t>
      </w:r>
      <w:r>
        <w:rPr>
          <w:rFonts w:cs="宋体" w:hint="eastAsia"/>
          <w:b/>
          <w:kern w:val="0"/>
          <w:szCs w:val="21"/>
        </w:rPr>
        <w:t>支付</w:t>
      </w:r>
      <w:r>
        <w:rPr>
          <w:rFonts w:cs="宋体"/>
          <w:b/>
          <w:kern w:val="0"/>
          <w:szCs w:val="21"/>
        </w:rPr>
        <w:t>日</w:t>
      </w:r>
      <w:r>
        <w:rPr>
          <w:rStyle w:val="af3"/>
          <w:rFonts w:cstheme="minorHAnsi"/>
          <w:b/>
          <w:szCs w:val="21"/>
        </w:rPr>
        <w:footnoteReference w:id="29"/>
      </w:r>
      <w:r>
        <w:rPr>
          <w:rFonts w:hint="eastAsia"/>
        </w:rPr>
        <w:t>支付当期应交保险费。</w:t>
      </w:r>
    </w:p>
    <w:p w14:paraId="21DEA0D8" w14:textId="77777777" w:rsidR="008F265F" w:rsidRDefault="00A542E4">
      <w:pPr>
        <w:numPr>
          <w:ilvl w:val="0"/>
          <w:numId w:val="1"/>
        </w:numPr>
        <w:spacing w:beforeLines="100" w:before="312"/>
        <w:ind w:left="902" w:hanging="902"/>
        <w:rPr>
          <w:rFonts w:ascii="宋体" w:hAnsi="宋体"/>
          <w:b/>
          <w:bCs/>
        </w:rPr>
      </w:pPr>
      <w:r>
        <w:rPr>
          <w:rFonts w:ascii="宋体" w:hAnsi="宋体" w:hint="eastAsia"/>
          <w:b/>
          <w:bCs/>
        </w:rPr>
        <w:t>宽限期</w:t>
      </w:r>
    </w:p>
    <w:p w14:paraId="74CD3444" w14:textId="77777777" w:rsidR="008F265F" w:rsidRDefault="00A542E4">
      <w:pPr>
        <w:pStyle w:val="af5"/>
        <w:spacing w:before="156"/>
        <w:rPr>
          <w:kern w:val="0"/>
        </w:rPr>
      </w:pPr>
      <w:r>
        <w:rPr>
          <w:rFonts w:hint="eastAsia"/>
          <w:kern w:val="0"/>
        </w:rPr>
        <w:t>除另有约定外，分期支付保险费的，您支付首期保险费后，如果您到期未支付保险费，自保险费约定支付日的次日零时起六十日为宽限期。宽限期内发生的保险事故，我们仍会承担保险责任，但在给付保险金时会扣减您欠交的保险费。</w:t>
      </w:r>
    </w:p>
    <w:p w14:paraId="7F5AFE93" w14:textId="77777777" w:rsidR="008F265F" w:rsidRDefault="00A542E4">
      <w:pPr>
        <w:pStyle w:val="af5"/>
        <w:spacing w:before="156"/>
        <w:rPr>
          <w:kern w:val="0"/>
        </w:rPr>
      </w:pPr>
      <w:r>
        <w:rPr>
          <w:rFonts w:hint="eastAsia"/>
          <w:kern w:val="0"/>
        </w:rPr>
        <w:t>除另有约定外，如果您宽限期结束之时仍未支付保险费，则本主险合同</w:t>
      </w:r>
      <w:r>
        <w:rPr>
          <w:rFonts w:hint="eastAsia"/>
          <w:kern w:val="0"/>
        </w:rPr>
        <w:lastRenderedPageBreak/>
        <w:t>自宽限期满的当日二十四时起效力中止。</w:t>
      </w:r>
    </w:p>
    <w:p w14:paraId="60E54091" w14:textId="77777777" w:rsidR="008F265F" w:rsidRDefault="00A542E4">
      <w:pPr>
        <w:numPr>
          <w:ilvl w:val="0"/>
          <w:numId w:val="1"/>
        </w:numPr>
        <w:spacing w:beforeLines="100" w:before="312"/>
        <w:ind w:left="902" w:hanging="902"/>
        <w:rPr>
          <w:rFonts w:ascii="宋体" w:hAnsi="宋体"/>
          <w:b/>
          <w:bCs/>
        </w:rPr>
      </w:pPr>
      <w:r>
        <w:rPr>
          <w:rFonts w:ascii="宋体" w:hAnsi="宋体" w:hint="eastAsia"/>
          <w:b/>
          <w:bCs/>
        </w:rPr>
        <w:t>效力中止与恢复</w:t>
      </w:r>
    </w:p>
    <w:p w14:paraId="55EADB8F" w14:textId="77777777" w:rsidR="008F265F" w:rsidRDefault="00A542E4">
      <w:pPr>
        <w:pStyle w:val="af5"/>
        <w:spacing w:before="156"/>
        <w:rPr>
          <w:kern w:val="0"/>
          <w:shd w:val="pct10" w:color="auto" w:fill="FFFFFF"/>
        </w:rPr>
      </w:pPr>
      <w:r w:rsidRPr="003B685F">
        <w:rPr>
          <w:rFonts w:hint="eastAsia"/>
          <w:kern w:val="0"/>
          <w:shd w:val="pct15" w:color="auto" w:fill="FFFFFF"/>
        </w:rPr>
        <w:t>在本主险合同效力中止期间，我们不承担保险责任。</w:t>
      </w:r>
    </w:p>
    <w:p w14:paraId="2DF5D178" w14:textId="77777777" w:rsidR="008F265F" w:rsidRDefault="00A542E4">
      <w:pPr>
        <w:pStyle w:val="af5"/>
        <w:spacing w:before="156"/>
        <w:rPr>
          <w:kern w:val="0"/>
        </w:rPr>
      </w:pPr>
      <w:r>
        <w:rPr>
          <w:rFonts w:hint="eastAsia"/>
          <w:kern w:val="0"/>
        </w:rPr>
        <w:t>您可以申请恢复合同效力，经您与我们协商并达成协议，自您补交保险费及其他未还款项（包括补交保险费的利息）之日起，合同效力恢复。上述补交保险费的利息按我们确定的利率计算。</w:t>
      </w:r>
    </w:p>
    <w:p w14:paraId="4A71BE3D" w14:textId="77777777" w:rsidR="008F265F" w:rsidRDefault="00A542E4">
      <w:pPr>
        <w:pStyle w:val="af5"/>
        <w:spacing w:before="156"/>
        <w:rPr>
          <w:kern w:val="0"/>
        </w:rPr>
      </w:pPr>
      <w:r>
        <w:rPr>
          <w:rFonts w:hint="eastAsia"/>
          <w:kern w:val="0"/>
        </w:rPr>
        <w:t>若因保单贷款导致合同效力中止的，经您与我们协商并达成协议，在您偿还全部保单贷款、累积利息及其他未还款项之日起，合同效力恢复。</w:t>
      </w:r>
    </w:p>
    <w:p w14:paraId="089BF53E" w14:textId="77777777" w:rsidR="008F265F" w:rsidRDefault="00A542E4">
      <w:pPr>
        <w:pStyle w:val="af5"/>
        <w:spacing w:before="156"/>
        <w:rPr>
          <w:kern w:val="0"/>
        </w:rPr>
      </w:pPr>
      <w:r>
        <w:rPr>
          <w:rFonts w:hint="eastAsia"/>
          <w:kern w:val="0"/>
        </w:rPr>
        <w:t>若因以上两项原因导致合同效力中止的，自同时满足各自对应复效条件之日起，合同效力恢复。</w:t>
      </w:r>
    </w:p>
    <w:p w14:paraId="621BFF26" w14:textId="77777777" w:rsidR="008F265F" w:rsidRDefault="00A542E4">
      <w:pPr>
        <w:pStyle w:val="af5"/>
        <w:spacing w:before="156"/>
        <w:ind w:firstLine="422"/>
        <w:rPr>
          <w:b/>
          <w:kern w:val="0"/>
        </w:rPr>
      </w:pPr>
      <w:r>
        <w:rPr>
          <w:rFonts w:hint="eastAsia"/>
          <w:b/>
          <w:kern w:val="0"/>
        </w:rPr>
        <w:t>自本主险合同效力中止之日起满两年您</w:t>
      </w:r>
      <w:r>
        <w:rPr>
          <w:b/>
          <w:kern w:val="0"/>
        </w:rPr>
        <w:t>与</w:t>
      </w:r>
      <w:r>
        <w:rPr>
          <w:rFonts w:hint="eastAsia"/>
          <w:b/>
          <w:kern w:val="0"/>
        </w:rPr>
        <w:t>我们未达成协议的，我们有权解除合同。我们解除合同的，向您退还合同效力中止时本主险合同的现金价值。</w:t>
      </w:r>
    </w:p>
    <w:p w14:paraId="67183469" w14:textId="77777777" w:rsidR="008F265F" w:rsidRDefault="00A542E4">
      <w:pPr>
        <w:pStyle w:val="af4"/>
        <w:spacing w:before="468"/>
        <w:rPr>
          <w:sz w:val="24"/>
        </w:rPr>
      </w:pPr>
      <w:r w:rsidRPr="00B412C0">
        <w:rPr>
          <w:rFonts w:hint="eastAsia"/>
          <w:sz w:val="24"/>
        </w:rPr>
        <w:t>第四章</w:t>
      </w:r>
      <w:r w:rsidRPr="00B412C0">
        <w:rPr>
          <w:sz w:val="24"/>
        </w:rPr>
        <w:t xml:space="preserve">  如何领取保险金</w:t>
      </w:r>
    </w:p>
    <w:p w14:paraId="269F97A8" w14:textId="77777777" w:rsidR="008F265F" w:rsidRDefault="00A542E4">
      <w:pPr>
        <w:pStyle w:val="af4"/>
        <w:spacing w:beforeLines="50" w:before="156"/>
        <w:rPr>
          <w:rFonts w:eastAsia="楷体"/>
          <w:b w:val="0"/>
        </w:rPr>
      </w:pPr>
      <w:r>
        <w:rPr>
          <w:rFonts w:eastAsia="楷体"/>
          <w:b w:val="0"/>
        </w:rPr>
        <w:t>这部分讲的是谁有权领取</w:t>
      </w:r>
      <w:r>
        <w:rPr>
          <w:rFonts w:eastAsia="楷体" w:hint="eastAsia"/>
          <w:b w:val="0"/>
        </w:rPr>
        <w:t>，</w:t>
      </w:r>
      <w:r>
        <w:rPr>
          <w:rFonts w:eastAsia="楷体"/>
          <w:b w:val="0"/>
        </w:rPr>
        <w:t>如何领取保险金</w:t>
      </w:r>
      <w:r>
        <w:rPr>
          <w:rFonts w:eastAsia="楷体" w:hint="eastAsia"/>
          <w:b w:val="0"/>
        </w:rPr>
        <w:t>。</w:t>
      </w:r>
    </w:p>
    <w:p w14:paraId="5389D701" w14:textId="77777777" w:rsidR="008F265F" w:rsidRDefault="00992274">
      <w:pPr>
        <w:pStyle w:val="af4"/>
        <w:spacing w:beforeLines="0"/>
        <w:jc w:val="both"/>
        <w:rPr>
          <w:rFonts w:eastAsia="楷体"/>
          <w:b w:val="0"/>
          <w:sz w:val="18"/>
        </w:rPr>
      </w:pPr>
      <w:r>
        <w:rPr>
          <w:rFonts w:eastAsia="楷体"/>
          <w:b w:val="0"/>
          <w:sz w:val="18"/>
        </w:rPr>
        <w:pict w14:anchorId="1887EF2C">
          <v:rect id="_x0000_i1028" style="width:453.6pt;height:1pt" o:hralign="center" o:hrstd="t" o:hrnoshade="t" o:hr="t" fillcolor="black" stroked="f"/>
        </w:pict>
      </w:r>
    </w:p>
    <w:p w14:paraId="401F67A1" w14:textId="77777777" w:rsidR="008F265F" w:rsidRDefault="00A542E4">
      <w:pPr>
        <w:numPr>
          <w:ilvl w:val="0"/>
          <w:numId w:val="1"/>
        </w:numPr>
        <w:spacing w:beforeLines="100" w:before="312"/>
        <w:ind w:left="902" w:hanging="902"/>
        <w:rPr>
          <w:rFonts w:ascii="宋体" w:hAnsi="宋体"/>
          <w:b/>
          <w:bCs/>
        </w:rPr>
      </w:pPr>
      <w:r>
        <w:rPr>
          <w:rFonts w:ascii="宋体" w:hAnsi="宋体" w:hint="eastAsia"/>
          <w:b/>
          <w:bCs/>
        </w:rPr>
        <w:t>受益人</w:t>
      </w:r>
    </w:p>
    <w:p w14:paraId="0FD77165" w14:textId="77777777" w:rsidR="008F265F" w:rsidRDefault="00A542E4">
      <w:pPr>
        <w:pStyle w:val="af5"/>
        <w:spacing w:before="156"/>
        <w:ind w:firstLineChars="0"/>
        <w:rPr>
          <w:szCs w:val="16"/>
        </w:rPr>
      </w:pPr>
      <w:r>
        <w:t>一</w:t>
      </w:r>
      <w:r>
        <w:rPr>
          <w:rFonts w:hint="eastAsia"/>
        </w:rPr>
        <w:t>、</w:t>
      </w:r>
      <w:r>
        <w:t>身故保险金受益人</w:t>
      </w:r>
    </w:p>
    <w:p w14:paraId="5725E45D" w14:textId="77777777" w:rsidR="008F265F" w:rsidRDefault="00A542E4">
      <w:pPr>
        <w:pStyle w:val="af5"/>
        <w:spacing w:before="156"/>
      </w:pPr>
      <w:r>
        <w:rPr>
          <w:rFonts w:hint="eastAsia"/>
        </w:rPr>
        <w:t>您或者被保险人可以指定一人或多人为身故保险金受益人。</w:t>
      </w:r>
    </w:p>
    <w:p w14:paraId="63B6B839" w14:textId="77777777" w:rsidR="008F265F" w:rsidRDefault="00A542E4">
      <w:pPr>
        <w:widowControl/>
        <w:spacing w:beforeLines="50" w:before="156"/>
        <w:ind w:firstLine="420"/>
        <w:rPr>
          <w:rFonts w:ascii="宋体" w:hAnsi="宋体"/>
        </w:rPr>
      </w:pPr>
      <w:r>
        <w:rPr>
          <w:rFonts w:ascii="宋体" w:hAnsi="宋体" w:hint="eastAsia"/>
        </w:rPr>
        <w:lastRenderedPageBreak/>
        <w:t>身故保险金受益人为多人时，可以确定受益顺序和受益份额；如果没有确定份额，各受益人按照相等份额享有受益权。</w:t>
      </w:r>
    </w:p>
    <w:p w14:paraId="73C646E2" w14:textId="77777777" w:rsidR="008F265F" w:rsidRDefault="00A542E4">
      <w:pPr>
        <w:widowControl/>
        <w:spacing w:beforeLines="50" w:before="156"/>
        <w:ind w:left="420"/>
        <w:rPr>
          <w:rFonts w:ascii="宋体" w:hAnsi="宋体"/>
        </w:rPr>
      </w:pPr>
      <w:r>
        <w:rPr>
          <w:rFonts w:ascii="宋体" w:hAnsi="宋体" w:hint="eastAsia"/>
        </w:rPr>
        <w:t>被保险人为无民事行为能力人或限制民事行为能力人的，可以由其监护人指定受益人。</w:t>
      </w:r>
    </w:p>
    <w:p w14:paraId="189A46B0" w14:textId="77777777" w:rsidR="008F265F" w:rsidRDefault="00A542E4">
      <w:pPr>
        <w:widowControl/>
        <w:spacing w:beforeLines="50" w:before="156"/>
        <w:ind w:firstLineChars="200" w:firstLine="420"/>
        <w:rPr>
          <w:rFonts w:ascii="宋体" w:hAnsi="宋体"/>
        </w:rPr>
      </w:pPr>
      <w:r>
        <w:rPr>
          <w:rFonts w:ascii="宋体" w:hAnsi="宋体" w:hint="eastAsia"/>
        </w:rPr>
        <w:t>您或者被保险人可以变更身故保险金受益人并书面通知我们。我们收到变更受益人的书面通知后，在保险单或其他保险凭证上批注或附贴批单。</w:t>
      </w:r>
    </w:p>
    <w:p w14:paraId="719687B4" w14:textId="77777777" w:rsidR="008F265F" w:rsidRDefault="00A542E4">
      <w:pPr>
        <w:widowControl/>
        <w:spacing w:beforeLines="50" w:before="156"/>
        <w:ind w:left="420"/>
        <w:rPr>
          <w:rFonts w:ascii="宋体" w:hAnsi="宋体"/>
        </w:rPr>
      </w:pPr>
      <w:r>
        <w:rPr>
          <w:rFonts w:ascii="宋体" w:hAnsi="宋体" w:hint="eastAsia"/>
        </w:rPr>
        <w:t>您在指定和变更身故保险金受益人时，必须经过被保险人同意。</w:t>
      </w:r>
    </w:p>
    <w:p w14:paraId="36E10651" w14:textId="77777777" w:rsidR="008F265F" w:rsidRDefault="00A542E4">
      <w:pPr>
        <w:widowControl/>
        <w:spacing w:beforeLines="50" w:before="156"/>
        <w:ind w:left="420"/>
        <w:rPr>
          <w:rFonts w:ascii="宋体" w:hAnsi="宋体"/>
        </w:rPr>
      </w:pPr>
      <w:r>
        <w:rPr>
          <w:rFonts w:ascii="宋体" w:hAnsi="宋体"/>
        </w:rPr>
        <w:t>二</w:t>
      </w:r>
      <w:r>
        <w:rPr>
          <w:rFonts w:ascii="宋体" w:hAnsi="宋体" w:hint="eastAsia"/>
        </w:rPr>
        <w:t>、其他保险金</w:t>
      </w:r>
      <w:r>
        <w:rPr>
          <w:rFonts w:ascii="宋体" w:hAnsi="宋体"/>
        </w:rPr>
        <w:t>受益人</w:t>
      </w:r>
    </w:p>
    <w:p w14:paraId="71BC2A10" w14:textId="77777777" w:rsidR="008F265F" w:rsidRDefault="00A542E4">
      <w:pPr>
        <w:widowControl/>
        <w:spacing w:beforeLines="50" w:before="156"/>
        <w:ind w:left="420"/>
        <w:rPr>
          <w:rFonts w:ascii="宋体" w:hAnsi="宋体"/>
        </w:rPr>
      </w:pPr>
      <w:r>
        <w:rPr>
          <w:rFonts w:hint="eastAsia"/>
        </w:rPr>
        <w:t>除另有指定外，本主险合同的身故保险金之外</w:t>
      </w:r>
      <w:r>
        <w:rPr>
          <w:rFonts w:hint="eastAsia"/>
          <w:szCs w:val="16"/>
        </w:rPr>
        <w:t>的受益人为被保险人本人</w:t>
      </w:r>
      <w:r>
        <w:rPr>
          <w:rFonts w:ascii="宋体" w:hAnsi="宋体" w:hint="eastAsia"/>
        </w:rPr>
        <w:t>。</w:t>
      </w:r>
    </w:p>
    <w:p w14:paraId="5AA6A371" w14:textId="77777777" w:rsidR="008F265F" w:rsidRDefault="00A542E4">
      <w:pPr>
        <w:widowControl/>
        <w:spacing w:beforeLines="50" w:before="156"/>
        <w:ind w:firstLineChars="201" w:firstLine="422"/>
        <w:rPr>
          <w:rFonts w:ascii="宋体" w:hAnsi="宋体"/>
        </w:rPr>
      </w:pPr>
      <w:r>
        <w:rPr>
          <w:rFonts w:ascii="宋体" w:hAnsi="宋体" w:hint="eastAsia"/>
        </w:rPr>
        <w:t>受益人故意造成被保险人身故、伤残、疾病的，或者故意杀害被保险人未遂的，该受益人丧失受益权。</w:t>
      </w:r>
    </w:p>
    <w:p w14:paraId="45D91B2A" w14:textId="77777777" w:rsidR="008F265F" w:rsidRDefault="00A542E4">
      <w:pPr>
        <w:widowControl/>
        <w:spacing w:beforeLines="50" w:before="156"/>
        <w:ind w:firstLineChars="201" w:firstLine="422"/>
        <w:rPr>
          <w:rFonts w:ascii="宋体" w:hAnsi="宋体"/>
        </w:rPr>
      </w:pPr>
      <w:r>
        <w:rPr>
          <w:rFonts w:ascii="宋体" w:hAnsi="宋体" w:hint="eastAsia"/>
        </w:rPr>
        <w:t>被保险人身故后，有下列情形之一的，保险金作为被保险人的遗产，由我们依照关于继承的法律法规履行给付保险金的义务：</w:t>
      </w:r>
      <w:r>
        <w:rPr>
          <w:rFonts w:ascii="宋体" w:hAnsi="宋体"/>
        </w:rPr>
        <w:br/>
      </w:r>
      <w:r>
        <w:rPr>
          <w:rFonts w:ascii="宋体" w:hAnsi="宋体" w:hint="eastAsia"/>
        </w:rPr>
        <w:t xml:space="preserve"> </w:t>
      </w:r>
      <w:r>
        <w:rPr>
          <w:rFonts w:ascii="宋体" w:hAnsi="宋体"/>
        </w:rPr>
        <w:t xml:space="preserve">  </w:t>
      </w:r>
      <w:r>
        <w:rPr>
          <w:rFonts w:ascii="宋体" w:hAnsi="宋体" w:hint="eastAsia"/>
        </w:rPr>
        <w:t>（一）没有指定受益人，或者受益人指定不明无法确定的；</w:t>
      </w:r>
      <w:r>
        <w:rPr>
          <w:rFonts w:ascii="宋体" w:hAnsi="宋体"/>
        </w:rPr>
        <w:br/>
        <w:t xml:space="preserve">   </w:t>
      </w:r>
      <w:r>
        <w:rPr>
          <w:rFonts w:ascii="宋体" w:hAnsi="宋体" w:hint="eastAsia"/>
        </w:rPr>
        <w:t>（二）受益人先于被保险人身故，没有其他受益人的；</w:t>
      </w:r>
      <w:r>
        <w:rPr>
          <w:rFonts w:ascii="宋体" w:hAnsi="宋体"/>
        </w:rPr>
        <w:br/>
        <w:t xml:space="preserve">   </w:t>
      </w:r>
      <w:r>
        <w:rPr>
          <w:rFonts w:ascii="宋体" w:hAnsi="宋体" w:hint="eastAsia"/>
        </w:rPr>
        <w:t>（三）受益人依法丧失受益权或者放弃受益权，没有其他受益人的。</w:t>
      </w:r>
    </w:p>
    <w:p w14:paraId="34F3F06D" w14:textId="77777777" w:rsidR="008F265F" w:rsidRDefault="00A542E4">
      <w:pPr>
        <w:pStyle w:val="af5"/>
        <w:spacing w:before="156"/>
        <w:rPr>
          <w:szCs w:val="16"/>
        </w:rPr>
      </w:pPr>
      <w:r>
        <w:rPr>
          <w:rFonts w:hint="eastAsia"/>
        </w:rPr>
        <w:t>受益人与被保险人在同一事件中身故，且不能确定身故先后顺序的，推定受益人身故在先。</w:t>
      </w:r>
    </w:p>
    <w:p w14:paraId="0D5B5B18" w14:textId="77777777" w:rsidR="008F265F" w:rsidRDefault="00A542E4">
      <w:pPr>
        <w:pStyle w:val="a"/>
        <w:tabs>
          <w:tab w:val="left" w:pos="993"/>
        </w:tabs>
        <w:spacing w:before="312"/>
        <w:ind w:left="1080" w:hanging="1080"/>
        <w:rPr>
          <w:szCs w:val="16"/>
        </w:rPr>
      </w:pPr>
      <w:r>
        <w:rPr>
          <w:rFonts w:hint="eastAsia"/>
        </w:rPr>
        <w:t>保险事故通知</w:t>
      </w:r>
    </w:p>
    <w:p w14:paraId="04C264DD" w14:textId="77777777" w:rsidR="008F265F" w:rsidRDefault="00A542E4">
      <w:pPr>
        <w:pStyle w:val="af5"/>
        <w:spacing w:before="156"/>
      </w:pPr>
      <w:r>
        <w:rPr>
          <w:rFonts w:hint="eastAsia"/>
        </w:rPr>
        <w:lastRenderedPageBreak/>
        <w:t>您、被保险人或受益人知道保险事故发生后应当在十日内</w:t>
      </w:r>
      <w:r>
        <w:t>通知</w:t>
      </w:r>
      <w:r>
        <w:rPr>
          <w:rFonts w:hint="eastAsia"/>
        </w:rPr>
        <w:t>我们</w:t>
      </w:r>
      <w:r>
        <w:t>。</w:t>
      </w:r>
    </w:p>
    <w:p w14:paraId="30A42E27" w14:textId="77777777" w:rsidR="008F265F" w:rsidRDefault="00A542E4">
      <w:pPr>
        <w:pStyle w:val="af5"/>
        <w:spacing w:before="156"/>
      </w:pPr>
      <w:r w:rsidRPr="003B685F">
        <w:rPr>
          <w:rFonts w:hint="eastAsia"/>
          <w:shd w:val="pct15" w:color="auto" w:fill="FFFFFF"/>
        </w:rPr>
        <w:t>如果您、被保险人或受益人故意或者因重大过失未及时通知，致使保险事故的性质、原因、损失程度等难以确定的，我们对无法确定的部分不承担保险责任</w:t>
      </w:r>
      <w:r>
        <w:rPr>
          <w:rFonts w:hint="eastAsia"/>
        </w:rPr>
        <w:t>，但我们通过其他途径已经及时知道或者应当及时知道保险事故发生或者虽未及时通知但不影响我们确定保险事故的性质、原因、损失程度的除外。</w:t>
      </w:r>
    </w:p>
    <w:p w14:paraId="258B6D07" w14:textId="77777777" w:rsidR="008F265F" w:rsidRDefault="00A542E4">
      <w:pPr>
        <w:pStyle w:val="a"/>
        <w:tabs>
          <w:tab w:val="left" w:pos="1080"/>
        </w:tabs>
        <w:spacing w:before="312"/>
        <w:ind w:left="1080" w:hanging="1080"/>
      </w:pPr>
      <w:r>
        <w:rPr>
          <w:rFonts w:hint="eastAsia"/>
        </w:rPr>
        <w:t>保险金申请</w:t>
      </w:r>
    </w:p>
    <w:p w14:paraId="70E27DBB" w14:textId="77777777"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申请保险金时，由相应保险金受益人作为申请人填写保险金给付申请书，并提供下列证明和资料：</w:t>
      </w:r>
    </w:p>
    <w:p w14:paraId="3BFE671F" w14:textId="5D1FC4EF" w:rsidR="008F265F" w:rsidRDefault="00A542E4">
      <w:pPr>
        <w:spacing w:beforeLines="50" w:before="156"/>
        <w:ind w:firstLineChars="200" w:firstLine="420"/>
        <w:rPr>
          <w:rFonts w:ascii="宋体" w:hAnsi="宋体"/>
        </w:rPr>
      </w:pPr>
      <w:r>
        <w:rPr>
          <w:rFonts w:ascii="宋体" w:hAnsi="宋体" w:cs="宋体" w:hint="eastAsia"/>
          <w:kern w:val="0"/>
          <w:szCs w:val="21"/>
        </w:rPr>
        <w:t>一、轻症疾病保险金、中症疾病保险金、重大疾病保险金、少儿特定疾病关爱保险金、少儿罕见疾病关爱保险金、疾病关爱保险金、重大疾病多次给付保险金、“恶性肿瘤——重度”关爱保险金给付和豁免保险费</w:t>
      </w:r>
      <w:r>
        <w:rPr>
          <w:rFonts w:ascii="宋体" w:hAnsi="宋体" w:hint="eastAsia"/>
        </w:rPr>
        <w:t>申请所需的证明和</w:t>
      </w:r>
      <w:r w:rsidR="00330C9C">
        <w:rPr>
          <w:rFonts w:ascii="宋体" w:hAnsi="宋体" w:hint="eastAsia"/>
        </w:rPr>
        <w:t>资料</w:t>
      </w:r>
    </w:p>
    <w:p w14:paraId="29C6D13A" w14:textId="77777777" w:rsidR="008F265F" w:rsidRDefault="00A542E4">
      <w:pPr>
        <w:ind w:firstLineChars="200" w:firstLine="420"/>
        <w:rPr>
          <w:rFonts w:ascii="宋体" w:hAnsi="宋体"/>
        </w:rPr>
      </w:pPr>
      <w:r>
        <w:rPr>
          <w:rFonts w:ascii="宋体" w:hAnsi="宋体" w:hint="eastAsia"/>
        </w:rPr>
        <w:t>（一）保险合同；</w:t>
      </w:r>
    </w:p>
    <w:p w14:paraId="4B55640E" w14:textId="4E2C3B79" w:rsidR="008F265F" w:rsidRDefault="00A542E4">
      <w:pPr>
        <w:ind w:firstLineChars="200" w:firstLine="420"/>
        <w:rPr>
          <w:rFonts w:ascii="宋体" w:hAnsi="宋体"/>
        </w:rPr>
      </w:pPr>
      <w:r>
        <w:rPr>
          <w:rFonts w:ascii="宋体" w:hAnsi="宋体" w:hint="eastAsia"/>
        </w:rPr>
        <w:t>（二）申请人</w:t>
      </w:r>
      <w:r w:rsidR="000C2816">
        <w:rPr>
          <w:rFonts w:hint="eastAsia"/>
        </w:rPr>
        <w:t>及被保险人</w:t>
      </w:r>
      <w:r>
        <w:rPr>
          <w:rFonts w:ascii="宋体" w:hAnsi="宋体" w:hint="eastAsia"/>
        </w:rPr>
        <w:t>的</w:t>
      </w:r>
      <w:r>
        <w:rPr>
          <w:rFonts w:ascii="宋体" w:hAnsi="宋体" w:hint="eastAsia"/>
          <w:b/>
        </w:rPr>
        <w:t>有效身份证件</w:t>
      </w:r>
      <w:r>
        <w:rPr>
          <w:rStyle w:val="af3"/>
          <w:rFonts w:ascii="宋体" w:hAnsi="宋体"/>
          <w:b/>
        </w:rPr>
        <w:footnoteReference w:id="30"/>
      </w:r>
      <w:r>
        <w:rPr>
          <w:rFonts w:ascii="宋体" w:hAnsi="宋体" w:hint="eastAsia"/>
        </w:rPr>
        <w:t>；</w:t>
      </w:r>
    </w:p>
    <w:p w14:paraId="6B92956A" w14:textId="77777777" w:rsidR="008F265F" w:rsidRDefault="00A542E4">
      <w:pPr>
        <w:ind w:firstLineChars="200" w:firstLine="420"/>
        <w:rPr>
          <w:rFonts w:ascii="宋体" w:hAnsi="宋体"/>
        </w:rPr>
      </w:pPr>
      <w:r>
        <w:rPr>
          <w:rFonts w:ascii="宋体" w:hAnsi="宋体" w:hint="eastAsia"/>
        </w:rPr>
        <w:t>（三）由我们</w:t>
      </w:r>
      <w:r>
        <w:rPr>
          <w:rFonts w:ascii="宋体" w:hAnsi="宋体"/>
        </w:rPr>
        <w:t>认可的医院出具</w:t>
      </w:r>
      <w:r>
        <w:rPr>
          <w:rFonts w:ascii="宋体" w:hAnsi="宋体" w:hint="eastAsia"/>
        </w:rPr>
        <w:t>的确诊本主险合同定义的轻症疾病、中症疾病、重大疾病、少儿特定疾病、</w:t>
      </w:r>
      <w:r>
        <w:rPr>
          <w:rFonts w:ascii="宋体" w:hAnsi="宋体" w:cs="宋体" w:hint="eastAsia"/>
          <w:kern w:val="0"/>
          <w:szCs w:val="21"/>
        </w:rPr>
        <w:t>少儿罕见疾病</w:t>
      </w:r>
      <w:r>
        <w:rPr>
          <w:rFonts w:ascii="宋体" w:hAnsi="宋体" w:hint="eastAsia"/>
        </w:rPr>
        <w:t>的证明材料；</w:t>
      </w:r>
    </w:p>
    <w:p w14:paraId="717B0235" w14:textId="77777777" w:rsidR="008F265F" w:rsidRDefault="00A542E4">
      <w:pPr>
        <w:ind w:firstLineChars="200" w:firstLine="420"/>
        <w:rPr>
          <w:rFonts w:ascii="宋体" w:hAnsi="宋体" w:cs="宋体"/>
          <w:kern w:val="0"/>
          <w:szCs w:val="21"/>
        </w:rPr>
      </w:pPr>
      <w:r>
        <w:rPr>
          <w:rFonts w:ascii="宋体" w:hAnsi="宋体" w:hint="eastAsia"/>
        </w:rPr>
        <w:t>（四）所能提供的</w:t>
      </w:r>
      <w:r>
        <w:rPr>
          <w:rFonts w:ascii="宋体" w:hAnsi="宋体"/>
        </w:rPr>
        <w:t>与确认保险事故的性质、原因</w:t>
      </w:r>
      <w:r>
        <w:rPr>
          <w:rFonts w:ascii="宋体" w:hAnsi="宋体" w:hint="eastAsia"/>
        </w:rPr>
        <w:t>等</w:t>
      </w:r>
      <w:r>
        <w:rPr>
          <w:rFonts w:ascii="宋体" w:hAnsi="宋体"/>
        </w:rPr>
        <w:t>有关的其他证明和资</w:t>
      </w:r>
      <w:r>
        <w:rPr>
          <w:rFonts w:ascii="宋体" w:hAnsi="宋体"/>
        </w:rPr>
        <w:lastRenderedPageBreak/>
        <w:t>料。</w:t>
      </w:r>
    </w:p>
    <w:p w14:paraId="1710B174" w14:textId="26D2DF31" w:rsidR="008F265F" w:rsidRDefault="00A542E4">
      <w:pPr>
        <w:spacing w:beforeLines="50" w:before="156"/>
        <w:ind w:firstLineChars="200" w:firstLine="420"/>
        <w:rPr>
          <w:rFonts w:ascii="宋体" w:hAnsi="宋体" w:cs="宋体"/>
          <w:kern w:val="0"/>
          <w:szCs w:val="21"/>
        </w:rPr>
      </w:pPr>
      <w:r>
        <w:rPr>
          <w:rFonts w:ascii="宋体" w:hAnsi="宋体" w:cs="宋体" w:hint="eastAsia"/>
          <w:kern w:val="0"/>
          <w:szCs w:val="21"/>
        </w:rPr>
        <w:t>二、重症监护病房补贴保险金</w:t>
      </w:r>
      <w:r>
        <w:rPr>
          <w:rFonts w:ascii="宋体" w:hAnsi="宋体" w:hint="eastAsia"/>
        </w:rPr>
        <w:t>申请所需的证明和</w:t>
      </w:r>
      <w:r w:rsidR="00330C9C">
        <w:rPr>
          <w:rFonts w:ascii="宋体" w:hAnsi="宋体" w:hint="eastAsia"/>
        </w:rPr>
        <w:t>资料</w:t>
      </w:r>
    </w:p>
    <w:p w14:paraId="76746EE7" w14:textId="77777777" w:rsidR="008F265F" w:rsidRDefault="00A542E4">
      <w:pPr>
        <w:ind w:firstLineChars="200" w:firstLine="420"/>
        <w:rPr>
          <w:rFonts w:ascii="宋体" w:hAnsi="宋体"/>
        </w:rPr>
      </w:pPr>
      <w:r>
        <w:rPr>
          <w:rFonts w:ascii="宋体" w:hAnsi="宋体" w:hint="eastAsia"/>
        </w:rPr>
        <w:t>（一）保险合同；</w:t>
      </w:r>
    </w:p>
    <w:p w14:paraId="6BCF83DC" w14:textId="749DA14B" w:rsidR="008F265F" w:rsidRDefault="00A542E4">
      <w:pPr>
        <w:ind w:firstLineChars="200" w:firstLine="420"/>
        <w:rPr>
          <w:rFonts w:ascii="宋体" w:hAnsi="宋体"/>
        </w:rPr>
      </w:pPr>
      <w:r>
        <w:rPr>
          <w:rFonts w:ascii="宋体" w:hAnsi="宋体" w:hint="eastAsia"/>
        </w:rPr>
        <w:t>（二）申请人</w:t>
      </w:r>
      <w:r w:rsidR="000C2816">
        <w:rPr>
          <w:rFonts w:hint="eastAsia"/>
        </w:rPr>
        <w:t>及被保险人</w:t>
      </w:r>
      <w:r>
        <w:rPr>
          <w:rFonts w:ascii="宋体" w:hAnsi="宋体" w:hint="eastAsia"/>
        </w:rPr>
        <w:t>的有效身份证件；</w:t>
      </w:r>
      <w:r>
        <w:rPr>
          <w:rFonts w:ascii="宋体" w:hAnsi="宋体"/>
        </w:rPr>
        <w:t xml:space="preserve"> </w:t>
      </w:r>
    </w:p>
    <w:p w14:paraId="60A1B9C1" w14:textId="77777777" w:rsidR="008F265F" w:rsidRDefault="00A542E4">
      <w:pPr>
        <w:ind w:firstLineChars="200" w:firstLine="420"/>
        <w:rPr>
          <w:rFonts w:ascii="宋体" w:hAnsi="宋体"/>
        </w:rPr>
      </w:pPr>
      <w:r>
        <w:rPr>
          <w:rFonts w:ascii="宋体" w:hAnsi="宋体" w:hint="eastAsia"/>
        </w:rPr>
        <w:t>（三）由我们认可的医院出具的医疗费用结算清单、诊断证明、出院小结及病历等相关资料；</w:t>
      </w:r>
      <w:r>
        <w:rPr>
          <w:rFonts w:ascii="宋体" w:hAnsi="宋体"/>
        </w:rPr>
        <w:t xml:space="preserve"> </w:t>
      </w:r>
    </w:p>
    <w:p w14:paraId="37600FDC" w14:textId="77777777" w:rsidR="008F265F" w:rsidRDefault="00A542E4">
      <w:pPr>
        <w:ind w:firstLineChars="200" w:firstLine="420"/>
        <w:rPr>
          <w:rFonts w:ascii="宋体" w:hAnsi="宋体"/>
        </w:rPr>
      </w:pPr>
      <w:r>
        <w:rPr>
          <w:rFonts w:ascii="宋体" w:hAnsi="宋体" w:hint="eastAsia"/>
        </w:rPr>
        <w:t>（四）所能提供的与确认保险事故的性质、原因等相关的其他证明</w:t>
      </w:r>
      <w:r>
        <w:rPr>
          <w:rFonts w:ascii="宋体" w:hAnsi="宋体"/>
        </w:rPr>
        <w:t>和</w:t>
      </w:r>
      <w:r>
        <w:rPr>
          <w:rFonts w:ascii="宋体" w:hAnsi="宋体" w:hint="eastAsia"/>
        </w:rPr>
        <w:t>资料。</w:t>
      </w:r>
    </w:p>
    <w:p w14:paraId="7B4D303A" w14:textId="77777777" w:rsidR="008F265F" w:rsidRDefault="00A542E4">
      <w:pPr>
        <w:pStyle w:val="af5"/>
        <w:spacing w:before="156"/>
      </w:pPr>
      <w:r>
        <w:rPr>
          <w:rFonts w:cs="宋体" w:hint="eastAsia"/>
          <w:kern w:val="0"/>
          <w:szCs w:val="21"/>
        </w:rPr>
        <w:t>三</w:t>
      </w:r>
      <w:r>
        <w:rPr>
          <w:rFonts w:hint="eastAsia"/>
        </w:rPr>
        <w:t>、身故保险金申请所需的证明和资料</w:t>
      </w:r>
    </w:p>
    <w:p w14:paraId="5B4021F2" w14:textId="77777777" w:rsidR="008F265F" w:rsidRDefault="00A542E4">
      <w:pPr>
        <w:pStyle w:val="af5"/>
        <w:spacing w:beforeLines="0"/>
      </w:pPr>
      <w:r>
        <w:rPr>
          <w:rFonts w:hint="eastAsia"/>
        </w:rPr>
        <w:t>（一）保险合同；</w:t>
      </w:r>
    </w:p>
    <w:p w14:paraId="46632AF0" w14:textId="77777777" w:rsidR="008F265F" w:rsidRDefault="00A542E4">
      <w:pPr>
        <w:pStyle w:val="af5"/>
        <w:spacing w:beforeLines="0"/>
      </w:pPr>
      <w:r>
        <w:rPr>
          <w:rFonts w:hint="eastAsia"/>
        </w:rPr>
        <w:t>（二）申请人的有效身份证件；</w:t>
      </w:r>
    </w:p>
    <w:p w14:paraId="657313D9" w14:textId="77777777" w:rsidR="008F265F" w:rsidRDefault="00A542E4">
      <w:pPr>
        <w:pStyle w:val="af5"/>
        <w:spacing w:beforeLines="0"/>
      </w:pPr>
      <w:r>
        <w:rPr>
          <w:rFonts w:hint="eastAsia"/>
        </w:rPr>
        <w:t>（三）国家卫生行政部门认定的</w:t>
      </w:r>
      <w:r>
        <w:rPr>
          <w:rFonts w:hint="eastAsia"/>
          <w:b/>
        </w:rPr>
        <w:t>医疗机构</w:t>
      </w:r>
      <w:r>
        <w:rPr>
          <w:rStyle w:val="af3"/>
          <w:b/>
        </w:rPr>
        <w:footnoteReference w:id="31"/>
      </w:r>
      <w:r>
        <w:rPr>
          <w:rFonts w:hint="eastAsia"/>
        </w:rPr>
        <w:t>、公安部门或其他相关机构出具的被保险人的死亡证明；</w:t>
      </w:r>
    </w:p>
    <w:p w14:paraId="047A352C" w14:textId="77777777" w:rsidR="008F265F" w:rsidRDefault="00A542E4">
      <w:pPr>
        <w:pStyle w:val="af5"/>
        <w:spacing w:beforeLines="0"/>
      </w:pPr>
      <w:r>
        <w:rPr>
          <w:rFonts w:hint="eastAsia"/>
        </w:rPr>
        <w:t>（四）所能提供的与确认保险事故的性质、原因等有关的其他证明和资料。</w:t>
      </w:r>
    </w:p>
    <w:p w14:paraId="5F5684F7" w14:textId="77777777" w:rsidR="008F265F" w:rsidRDefault="00A542E4">
      <w:pPr>
        <w:pStyle w:val="af5"/>
        <w:spacing w:before="156"/>
      </w:pPr>
      <w:r>
        <w:t>四</w:t>
      </w:r>
      <w:r>
        <w:rPr>
          <w:rFonts w:hint="eastAsia"/>
        </w:rPr>
        <w:t>、全残保险金申请所需的证明和资料</w:t>
      </w:r>
    </w:p>
    <w:p w14:paraId="1537E979" w14:textId="77777777" w:rsidR="008F265F" w:rsidRDefault="00A542E4">
      <w:pPr>
        <w:pStyle w:val="af5"/>
        <w:spacing w:beforeLines="0"/>
      </w:pPr>
      <w:r>
        <w:rPr>
          <w:rFonts w:hint="eastAsia"/>
        </w:rPr>
        <w:t>（一）保险合同；</w:t>
      </w:r>
    </w:p>
    <w:p w14:paraId="1D049675" w14:textId="77777777" w:rsidR="008F265F" w:rsidRDefault="00A542E4">
      <w:pPr>
        <w:pStyle w:val="af5"/>
        <w:spacing w:beforeLines="0"/>
      </w:pPr>
      <w:r>
        <w:rPr>
          <w:rFonts w:hint="eastAsia"/>
        </w:rPr>
        <w:t>（二）申请人及被保险人的有效身份证件；</w:t>
      </w:r>
    </w:p>
    <w:p w14:paraId="0B6C5423" w14:textId="77777777" w:rsidR="008F265F" w:rsidRDefault="00A542E4">
      <w:pPr>
        <w:pStyle w:val="af5"/>
        <w:spacing w:beforeLines="0"/>
      </w:pPr>
      <w:r>
        <w:rPr>
          <w:rFonts w:hint="eastAsia"/>
        </w:rPr>
        <w:lastRenderedPageBreak/>
        <w:t>（三）由二级以上（含二级）医院或</w:t>
      </w:r>
      <w:r>
        <w:rPr>
          <w:rFonts w:hint="eastAsia"/>
          <w:b/>
        </w:rPr>
        <w:t>鉴定机构</w:t>
      </w:r>
      <w:r>
        <w:rPr>
          <w:rStyle w:val="af3"/>
          <w:b/>
        </w:rPr>
        <w:footnoteReference w:id="32"/>
      </w:r>
      <w:r>
        <w:rPr>
          <w:rFonts w:hint="eastAsia"/>
        </w:rPr>
        <w:t>出具的被保险人身体伤残鉴定书，其中二级以上（含二级）医院须具有鉴定资质；</w:t>
      </w:r>
    </w:p>
    <w:p w14:paraId="3A999053" w14:textId="77777777" w:rsidR="008F265F" w:rsidRDefault="00A542E4">
      <w:pPr>
        <w:pStyle w:val="af5"/>
        <w:spacing w:beforeLines="0"/>
      </w:pPr>
      <w:r>
        <w:rPr>
          <w:rFonts w:hint="eastAsia"/>
        </w:rPr>
        <w:t>（四）所能提供的与确认保险事故的性质、原因、伤害程度等有关的其他证明和资料。</w:t>
      </w:r>
    </w:p>
    <w:p w14:paraId="304290C7" w14:textId="77777777" w:rsidR="008F265F" w:rsidRDefault="00A542E4">
      <w:pPr>
        <w:pStyle w:val="af5"/>
        <w:spacing w:before="156"/>
      </w:pPr>
      <w:r>
        <w:rPr>
          <w:rFonts w:hint="eastAsia"/>
        </w:rPr>
        <w:t>保险金作为被保险人遗产时，继承人还须提供可证明其合法继承权的相关权利文件。</w:t>
      </w:r>
    </w:p>
    <w:p w14:paraId="04B8E6DB" w14:textId="77777777" w:rsidR="008F265F" w:rsidRDefault="00A542E4">
      <w:pPr>
        <w:spacing w:beforeLines="50" w:before="156"/>
        <w:ind w:firstLineChars="200" w:firstLine="420"/>
        <w:rPr>
          <w:rFonts w:ascii="宋体" w:hAnsi="宋体"/>
          <w:szCs w:val="16"/>
        </w:rPr>
      </w:pPr>
      <w:r>
        <w:rPr>
          <w:rFonts w:hint="eastAsia"/>
        </w:rPr>
        <w:t>以上证明和资料不完整的，我们将及时一次性通知申请人补充提供。</w:t>
      </w:r>
    </w:p>
    <w:p w14:paraId="447D1AC1" w14:textId="77777777" w:rsidR="008F265F" w:rsidRDefault="00A542E4">
      <w:pPr>
        <w:pStyle w:val="a"/>
        <w:tabs>
          <w:tab w:val="left" w:pos="1080"/>
        </w:tabs>
        <w:spacing w:before="312"/>
        <w:ind w:left="1080" w:hanging="1080"/>
      </w:pPr>
      <w:r>
        <w:rPr>
          <w:rFonts w:hint="eastAsia"/>
        </w:rPr>
        <w:t>保险金给付</w:t>
      </w:r>
    </w:p>
    <w:p w14:paraId="0E7824A0" w14:textId="77777777" w:rsidR="008F265F" w:rsidRDefault="00A542E4">
      <w:pPr>
        <w:pStyle w:val="af5"/>
        <w:spacing w:before="156"/>
      </w:pPr>
      <w:r>
        <w:rPr>
          <w:rFonts w:hint="eastAsia"/>
        </w:rPr>
        <w:t>一、我们在收到保险金给付申请书及保险金申请所需证明和资料后，将在五个工作日内作出核定；情形复杂的，在三十日内作出核定。若我们要求投保人、被保险人或者受益人补充提供有关证明和资料的，则上述的三十日不包括补充提供有关证明和资料的期间。</w:t>
      </w:r>
    </w:p>
    <w:p w14:paraId="3221BEAE" w14:textId="5EC2BB82" w:rsidR="008F265F" w:rsidRDefault="00A542E4">
      <w:pPr>
        <w:pStyle w:val="af5"/>
        <w:spacing w:before="156"/>
      </w:pPr>
      <w:r>
        <w:rPr>
          <w:rFonts w:hint="eastAsia"/>
        </w:rPr>
        <w:t>经我们核定属于保险责任的，我们在与受益人达成有关给付保险金数额</w:t>
      </w:r>
      <w:r w:rsidR="00330C9C">
        <w:rPr>
          <w:rFonts w:hint="eastAsia"/>
        </w:rPr>
        <w:t>或豁免保险费</w:t>
      </w:r>
      <w:r>
        <w:rPr>
          <w:rFonts w:hint="eastAsia"/>
        </w:rPr>
        <w:t>的协议后十日内，履行给付保险金</w:t>
      </w:r>
      <w:r w:rsidR="00330C9C">
        <w:rPr>
          <w:rFonts w:hint="eastAsia"/>
        </w:rPr>
        <w:t>或豁免保险费</w:t>
      </w:r>
      <w:r>
        <w:rPr>
          <w:rFonts w:hint="eastAsia"/>
        </w:rPr>
        <w:t>义务。</w:t>
      </w:r>
    </w:p>
    <w:p w14:paraId="539CE7A9" w14:textId="6FA05BBE" w:rsidR="008F265F" w:rsidRDefault="00A542E4">
      <w:pPr>
        <w:pStyle w:val="af5"/>
        <w:spacing w:before="156"/>
      </w:pPr>
      <w:r>
        <w:rPr>
          <w:rFonts w:hint="eastAsia"/>
        </w:rPr>
        <w:t>我们未及时履行前款规定义务的，将赔偿受益人因此受到的损失。前述“损失”指根据中国人民银行公布的同期金融机构人民币活期存款基准利率的单利，从第三十一日起按照超过天数计算的利息损失。对不属于保险责任的，我们自作出核定之日起三日内向受益人发出拒绝给付保险金或豁免保</w:t>
      </w:r>
      <w:r>
        <w:rPr>
          <w:rFonts w:hint="eastAsia"/>
        </w:rPr>
        <w:lastRenderedPageBreak/>
        <w:t>险费通知书</w:t>
      </w:r>
      <w:r w:rsidR="00330C9C">
        <w:rPr>
          <w:rFonts w:hint="eastAsia"/>
        </w:rPr>
        <w:t>，</w:t>
      </w:r>
      <w:r>
        <w:rPr>
          <w:rFonts w:hint="eastAsia"/>
        </w:rPr>
        <w:t>并说明理由。</w:t>
      </w:r>
    </w:p>
    <w:p w14:paraId="45701F0D" w14:textId="77777777" w:rsidR="008F265F" w:rsidRDefault="00A542E4">
      <w:pPr>
        <w:pStyle w:val="af5"/>
        <w:spacing w:before="156"/>
      </w:pPr>
      <w:r>
        <w:rPr>
          <w:rFonts w:hint="eastAsia"/>
        </w:rPr>
        <w:t>我们在收到保险金给付申请书及有关证明和资料之日起六十日内，对给付保险金的数额不能确定的，根据已有证明和资料可以确定的数额先予支付；我们最终确定给付保险金的数额后，将支付相应的差额。</w:t>
      </w:r>
    </w:p>
    <w:p w14:paraId="79641BB2" w14:textId="02C91087" w:rsidR="008F265F" w:rsidRDefault="00A542E4">
      <w:pPr>
        <w:pStyle w:val="af5"/>
        <w:spacing w:before="156"/>
      </w:pPr>
      <w:r>
        <w:rPr>
          <w:rFonts w:hint="eastAsia"/>
        </w:rPr>
        <w:t>二、受益人向我们请求给付保险金的诉讼时效期间为</w:t>
      </w:r>
      <w:r w:rsidR="00330C9C">
        <w:rPr>
          <w:rFonts w:hint="eastAsia"/>
        </w:rPr>
        <w:t>两</w:t>
      </w:r>
      <w:r>
        <w:rPr>
          <w:rFonts w:hint="eastAsia"/>
        </w:rPr>
        <w:t>年，诉讼时效自其知道或者应当知道保险事故发生之日起计算。</w:t>
      </w:r>
    </w:p>
    <w:p w14:paraId="10878409" w14:textId="77777777" w:rsidR="008F265F" w:rsidRDefault="00A542E4">
      <w:pPr>
        <w:numPr>
          <w:ilvl w:val="0"/>
          <w:numId w:val="1"/>
        </w:numPr>
        <w:tabs>
          <w:tab w:val="left" w:pos="1276"/>
        </w:tabs>
        <w:spacing w:beforeLines="100" w:before="312"/>
        <w:ind w:left="1134" w:hanging="1134"/>
        <w:rPr>
          <w:rFonts w:ascii="宋体" w:hAnsi="宋体"/>
          <w:b/>
          <w:bCs/>
        </w:rPr>
      </w:pPr>
      <w:r>
        <w:rPr>
          <w:rFonts w:ascii="宋体" w:hAnsi="宋体" w:hint="eastAsia"/>
          <w:b/>
          <w:bCs/>
        </w:rPr>
        <w:t>宣告死亡处理</w:t>
      </w:r>
    </w:p>
    <w:p w14:paraId="39E11739" w14:textId="77777777" w:rsidR="008F265F" w:rsidRDefault="00A542E4">
      <w:pPr>
        <w:pStyle w:val="af5"/>
        <w:spacing w:before="156"/>
      </w:pPr>
      <w:r>
        <w:rPr>
          <w:rFonts w:hint="eastAsia"/>
        </w:rPr>
        <w:t>在本主险合同保险期间内，被保险人下落不明且经人民法院宣告被保险人死亡的，我们根据人民法院宣告死亡判决依法确定被保险人死亡日期，并按本条款与身故有关的约定处理。若被保险人在宣告死亡后重新出现，身故保险金受益人或继承人应于知道或应该知道被保险人重新出现后</w:t>
      </w:r>
      <w:r>
        <w:t>三十</w:t>
      </w:r>
      <w:r>
        <w:rPr>
          <w:rFonts w:hint="eastAsia"/>
        </w:rPr>
        <w:t>日内将领取的身故保险金退还给我们。</w:t>
      </w:r>
    </w:p>
    <w:p w14:paraId="0B44CA44" w14:textId="77777777" w:rsidR="008F265F" w:rsidRDefault="00A542E4">
      <w:pPr>
        <w:pStyle w:val="af4"/>
        <w:spacing w:before="468"/>
        <w:rPr>
          <w:sz w:val="24"/>
        </w:rPr>
      </w:pPr>
      <w:r>
        <w:rPr>
          <w:rFonts w:hint="eastAsia"/>
          <w:sz w:val="24"/>
        </w:rPr>
        <w:t xml:space="preserve">第五章  </w:t>
      </w:r>
      <w:r>
        <w:rPr>
          <w:sz w:val="24"/>
        </w:rPr>
        <w:t>如何退保</w:t>
      </w:r>
    </w:p>
    <w:p w14:paraId="69103D09" w14:textId="77777777" w:rsidR="008F265F" w:rsidRDefault="00A542E4">
      <w:pPr>
        <w:pStyle w:val="af4"/>
        <w:spacing w:beforeLines="50" w:before="156"/>
        <w:rPr>
          <w:rFonts w:eastAsia="楷体"/>
          <w:b w:val="0"/>
        </w:rPr>
      </w:pPr>
      <w:r>
        <w:rPr>
          <w:rFonts w:eastAsia="楷体" w:hint="eastAsia"/>
          <w:b w:val="0"/>
        </w:rPr>
        <w:t>这部分讲的是您可以申请退保。</w:t>
      </w:r>
    </w:p>
    <w:p w14:paraId="2F027429" w14:textId="77777777" w:rsidR="008F265F" w:rsidRDefault="00992274">
      <w:pPr>
        <w:pStyle w:val="af4"/>
        <w:spacing w:beforeLines="0"/>
        <w:jc w:val="both"/>
        <w:rPr>
          <w:rFonts w:eastAsia="楷体"/>
          <w:b w:val="0"/>
        </w:rPr>
      </w:pPr>
      <w:r>
        <w:rPr>
          <w:rFonts w:eastAsia="楷体"/>
          <w:b w:val="0"/>
          <w:sz w:val="18"/>
        </w:rPr>
        <w:pict w14:anchorId="1D71AFE5">
          <v:rect id="_x0000_i1029" style="width:453.6pt;height:1pt" o:hralign="center" o:hrstd="t" o:hrnoshade="t" o:hr="t" fillcolor="black" stroked="f"/>
        </w:pict>
      </w:r>
    </w:p>
    <w:p w14:paraId="183913E4" w14:textId="77777777" w:rsidR="008F265F" w:rsidRDefault="00A542E4">
      <w:pPr>
        <w:numPr>
          <w:ilvl w:val="0"/>
          <w:numId w:val="1"/>
        </w:numPr>
        <w:tabs>
          <w:tab w:val="left" w:pos="1276"/>
        </w:tabs>
        <w:spacing w:beforeLines="100" w:before="312"/>
        <w:ind w:left="1134" w:hanging="1134"/>
        <w:rPr>
          <w:rFonts w:ascii="宋体" w:hAnsi="宋体"/>
          <w:b/>
          <w:bCs/>
        </w:rPr>
      </w:pPr>
      <w:r>
        <w:rPr>
          <w:rFonts w:ascii="宋体" w:hAnsi="宋体" w:hint="eastAsia"/>
          <w:b/>
          <w:bCs/>
        </w:rPr>
        <w:t>犹豫期</w:t>
      </w:r>
    </w:p>
    <w:p w14:paraId="60BCE107" w14:textId="77777777" w:rsidR="008F265F" w:rsidRDefault="00A542E4">
      <w:pPr>
        <w:pStyle w:val="af5"/>
        <w:spacing w:before="156"/>
      </w:pPr>
      <w:r>
        <w:rPr>
          <w:rFonts w:hint="eastAsia"/>
        </w:rPr>
        <w:t>自您签收本主险合同之日起，有十五日的犹豫期。在此期间请您认真审视本主险合同，如果您认为本主险合同与您的需求不相符，您可以在此期间提出解除本主险合同，我们将无息退还您所支付的全部保险费。</w:t>
      </w:r>
    </w:p>
    <w:p w14:paraId="4911A328" w14:textId="77777777" w:rsidR="008F265F" w:rsidRDefault="00A542E4">
      <w:pPr>
        <w:pStyle w:val="af5"/>
        <w:spacing w:before="156"/>
        <w:rPr>
          <w:shd w:val="pct10" w:color="auto" w:fill="FFFFFF"/>
        </w:rPr>
      </w:pPr>
      <w:r>
        <w:rPr>
          <w:rFonts w:hint="eastAsia"/>
        </w:rPr>
        <w:lastRenderedPageBreak/>
        <w:t>解除本主险合同时，您需要填写解除合同通知书，并提供您的保险合同及有效身份证件。自我们收到您解除合同的通知书时，本主险合同即被解除，</w:t>
      </w:r>
      <w:r w:rsidRPr="003B685F">
        <w:rPr>
          <w:rFonts w:hint="eastAsia"/>
          <w:shd w:val="pct15" w:color="auto" w:fill="FFFFFF"/>
        </w:rPr>
        <w:t>合同解除前发生的保险事故我们不承担保险责任</w:t>
      </w:r>
      <w:r>
        <w:rPr>
          <w:rFonts w:hint="eastAsia"/>
        </w:rPr>
        <w:t>。</w:t>
      </w:r>
    </w:p>
    <w:p w14:paraId="44AD18A9" w14:textId="77777777" w:rsidR="008F265F" w:rsidRDefault="00A542E4">
      <w:pPr>
        <w:pStyle w:val="a"/>
        <w:tabs>
          <w:tab w:val="left" w:pos="1080"/>
        </w:tabs>
        <w:spacing w:before="312"/>
        <w:ind w:left="1080" w:hanging="1080"/>
      </w:pPr>
      <w:r>
        <w:rPr>
          <w:rFonts w:hint="eastAsia"/>
        </w:rPr>
        <w:t>您解除合同的手续及风险</w:t>
      </w:r>
    </w:p>
    <w:p w14:paraId="3F97F126" w14:textId="77777777" w:rsidR="008F265F" w:rsidRDefault="00A542E4">
      <w:pPr>
        <w:pStyle w:val="af5"/>
        <w:spacing w:before="156"/>
      </w:pPr>
      <w:r>
        <w:rPr>
          <w:rFonts w:hint="eastAsia"/>
        </w:rPr>
        <w:t>本主险合同成立后，您可以解除本主险合同，请填写解除合同通知书并向我们提供下列证明和资料：</w:t>
      </w:r>
    </w:p>
    <w:p w14:paraId="430B0BE8" w14:textId="77777777" w:rsidR="008F265F" w:rsidRDefault="00A542E4">
      <w:pPr>
        <w:pStyle w:val="af5"/>
        <w:spacing w:beforeLines="0"/>
      </w:pPr>
      <w:r>
        <w:rPr>
          <w:rFonts w:hint="eastAsia"/>
        </w:rPr>
        <w:t>一、保险合同；</w:t>
      </w:r>
    </w:p>
    <w:p w14:paraId="19D4999A" w14:textId="77777777" w:rsidR="008F265F" w:rsidRDefault="00A542E4">
      <w:pPr>
        <w:pStyle w:val="af5"/>
        <w:spacing w:beforeLines="0"/>
      </w:pPr>
      <w:r>
        <w:rPr>
          <w:rFonts w:hint="eastAsia"/>
        </w:rPr>
        <w:t>二、您的有效身份证件。</w:t>
      </w:r>
    </w:p>
    <w:p w14:paraId="0C156604" w14:textId="77777777" w:rsidR="008F265F" w:rsidRDefault="00A542E4">
      <w:pPr>
        <w:pStyle w:val="af5"/>
        <w:spacing w:before="156"/>
      </w:pPr>
      <w:r>
        <w:rPr>
          <w:rFonts w:hint="eastAsia"/>
        </w:rPr>
        <w:t>自我们收到解除合同</w:t>
      </w:r>
      <w:r>
        <w:t>通知</w:t>
      </w:r>
      <w:r>
        <w:rPr>
          <w:rFonts w:hint="eastAsia"/>
        </w:rPr>
        <w:t>书时起，本主险合同终止。您在犹豫期后解除本主险合同的，我们自收到解除合同</w:t>
      </w:r>
      <w:r>
        <w:t>通知</w:t>
      </w:r>
      <w:r>
        <w:rPr>
          <w:rFonts w:hint="eastAsia"/>
        </w:rPr>
        <w:t>书之日起三十日内向您退还本主险合同的现金价值。</w:t>
      </w:r>
    </w:p>
    <w:p w14:paraId="2BF75C5B" w14:textId="77777777" w:rsidR="008F265F" w:rsidRDefault="00A542E4">
      <w:pPr>
        <w:pStyle w:val="af5"/>
        <w:spacing w:before="156"/>
        <w:ind w:firstLine="422"/>
        <w:rPr>
          <w:b/>
        </w:rPr>
      </w:pPr>
      <w:r>
        <w:rPr>
          <w:rFonts w:hint="eastAsia"/>
          <w:b/>
        </w:rPr>
        <w:t>您在犹豫期后解除合同可能会遭受一定损失。</w:t>
      </w:r>
    </w:p>
    <w:p w14:paraId="4B9ECBAD" w14:textId="77777777" w:rsidR="008F265F" w:rsidRDefault="00A542E4" w:rsidP="00330C9C">
      <w:pPr>
        <w:pStyle w:val="a"/>
        <w:tabs>
          <w:tab w:val="clear" w:pos="2547"/>
          <w:tab w:val="left" w:pos="1134"/>
        </w:tabs>
        <w:spacing w:before="312"/>
        <w:ind w:left="1134" w:hanging="1129"/>
      </w:pPr>
      <w:r>
        <w:rPr>
          <w:rFonts w:hint="eastAsia"/>
        </w:rPr>
        <w:t>本公司合同解除权的限制</w:t>
      </w:r>
    </w:p>
    <w:p w14:paraId="25F883AA" w14:textId="77777777" w:rsidR="008F265F" w:rsidRDefault="00A542E4">
      <w:pPr>
        <w:pStyle w:val="a"/>
        <w:numPr>
          <w:ilvl w:val="0"/>
          <w:numId w:val="0"/>
        </w:numPr>
        <w:spacing w:beforeLines="50" w:before="156"/>
        <w:ind w:firstLineChars="200" w:firstLine="420"/>
        <w:rPr>
          <w:b w:val="0"/>
          <w:bCs w:val="0"/>
        </w:rPr>
      </w:pPr>
      <w:r>
        <w:rPr>
          <w:rFonts w:hint="eastAsia"/>
          <w:b w:val="0"/>
          <w:bCs w:val="0"/>
        </w:rPr>
        <w:t>本条款“第二十</w:t>
      </w:r>
      <w:r>
        <w:rPr>
          <w:b w:val="0"/>
          <w:bCs w:val="0"/>
        </w:rPr>
        <w:t>三</w:t>
      </w:r>
      <w:r>
        <w:rPr>
          <w:rFonts w:hint="eastAsia"/>
          <w:b w:val="0"/>
          <w:bCs w:val="0"/>
        </w:rPr>
        <w:t>条 明确说明与如实告知”、“第二十</w:t>
      </w:r>
      <w:r>
        <w:rPr>
          <w:b w:val="0"/>
          <w:bCs w:val="0"/>
        </w:rPr>
        <w:t>四</w:t>
      </w:r>
      <w:r>
        <w:rPr>
          <w:rFonts w:hint="eastAsia"/>
          <w:b w:val="0"/>
          <w:bCs w:val="0"/>
        </w:rPr>
        <w:t>条 年龄性别错误的处理”规定的合同解除权，自我们知道有解除事由之日起，超过三十日不行使而消灭。自本主险合同成立之日起超过两年的，我们不得解除合同；发生保险事故的，我们承担保险责任。</w:t>
      </w:r>
    </w:p>
    <w:p w14:paraId="49DFE61A" w14:textId="77777777" w:rsidR="008F265F" w:rsidRDefault="00A542E4">
      <w:pPr>
        <w:pStyle w:val="a"/>
        <w:numPr>
          <w:ilvl w:val="0"/>
          <w:numId w:val="0"/>
        </w:numPr>
        <w:spacing w:beforeLines="50" w:before="156"/>
        <w:ind w:firstLineChars="200" w:firstLine="420"/>
        <w:rPr>
          <w:b w:val="0"/>
        </w:rPr>
      </w:pPr>
      <w:r>
        <w:rPr>
          <w:rFonts w:hint="eastAsia"/>
          <w:b w:val="0"/>
          <w:bCs w:val="0"/>
        </w:rPr>
        <w:t>我们在合同订立时已经知道您未如实告知的情况的，我们不得解除合同；发生保险事故的，我们应当承担保险责任。</w:t>
      </w:r>
    </w:p>
    <w:p w14:paraId="2D8B4904" w14:textId="77777777" w:rsidR="008F265F" w:rsidRDefault="00A542E4">
      <w:pPr>
        <w:pStyle w:val="af4"/>
        <w:spacing w:before="468"/>
        <w:rPr>
          <w:sz w:val="24"/>
        </w:rPr>
      </w:pPr>
      <w:r>
        <w:rPr>
          <w:rFonts w:hint="eastAsia"/>
          <w:sz w:val="24"/>
        </w:rPr>
        <w:lastRenderedPageBreak/>
        <w:t xml:space="preserve">第六章  </w:t>
      </w:r>
      <w:r>
        <w:rPr>
          <w:sz w:val="24"/>
        </w:rPr>
        <w:t>其他权益</w:t>
      </w:r>
    </w:p>
    <w:p w14:paraId="537CE290" w14:textId="77777777" w:rsidR="008F265F" w:rsidRDefault="00A542E4">
      <w:pPr>
        <w:pStyle w:val="af4"/>
        <w:spacing w:beforeLines="50" w:before="156"/>
        <w:rPr>
          <w:rFonts w:eastAsia="楷体"/>
          <w:b w:val="0"/>
        </w:rPr>
      </w:pPr>
      <w:r>
        <w:rPr>
          <w:rFonts w:eastAsia="楷体" w:hint="eastAsia"/>
          <w:b w:val="0"/>
        </w:rPr>
        <w:t>这部分讲的是您所拥有的其他相关权益。</w:t>
      </w:r>
    </w:p>
    <w:p w14:paraId="790C8C6B" w14:textId="77777777" w:rsidR="008F265F" w:rsidRDefault="00992274">
      <w:pPr>
        <w:pStyle w:val="af4"/>
        <w:spacing w:beforeLines="0"/>
        <w:jc w:val="both"/>
        <w:rPr>
          <w:rFonts w:eastAsia="楷体"/>
          <w:b w:val="0"/>
        </w:rPr>
      </w:pPr>
      <w:r>
        <w:rPr>
          <w:rFonts w:eastAsia="楷体"/>
          <w:b w:val="0"/>
          <w:sz w:val="18"/>
        </w:rPr>
        <w:pict w14:anchorId="23CC44DF">
          <v:rect id="_x0000_i1030" style="width:453.6pt;height:1pt" o:hralign="center" o:hrstd="t" o:hrnoshade="t" o:hr="t" fillcolor="black" stroked="f"/>
        </w:pict>
      </w:r>
    </w:p>
    <w:p w14:paraId="7DFFFC7E" w14:textId="77777777" w:rsidR="008F265F" w:rsidRDefault="00A542E4">
      <w:pPr>
        <w:pStyle w:val="a"/>
        <w:tabs>
          <w:tab w:val="left" w:pos="703"/>
        </w:tabs>
        <w:spacing w:before="312"/>
        <w:ind w:left="1080" w:hanging="1080"/>
      </w:pPr>
      <w:r>
        <w:rPr>
          <w:rFonts w:hint="eastAsia"/>
        </w:rPr>
        <w:t>现金价值</w:t>
      </w:r>
    </w:p>
    <w:p w14:paraId="60867A90" w14:textId="77777777" w:rsidR="008F265F" w:rsidRDefault="00A542E4">
      <w:pPr>
        <w:pStyle w:val="a"/>
        <w:numPr>
          <w:ilvl w:val="0"/>
          <w:numId w:val="0"/>
        </w:numPr>
        <w:tabs>
          <w:tab w:val="left" w:pos="703"/>
        </w:tabs>
        <w:spacing w:beforeLines="50" w:before="156"/>
        <w:ind w:firstLineChars="200" w:firstLine="420"/>
        <w:rPr>
          <w:b w:val="0"/>
        </w:rPr>
      </w:pPr>
      <w:r>
        <w:rPr>
          <w:rFonts w:hint="eastAsia"/>
          <w:b w:val="0"/>
        </w:rPr>
        <w:t>指保险单所具有的价值，通常体现为解除合同时，根据精算原理计算的、由我们退还的那部分金额。保单年度末的现金价值会在保险合同上载明，保单年度内的现金价值，您可以向我们咨询。</w:t>
      </w:r>
    </w:p>
    <w:p w14:paraId="2218CBD8" w14:textId="77777777" w:rsidR="008F265F" w:rsidRDefault="00A542E4">
      <w:pPr>
        <w:pStyle w:val="a"/>
        <w:tabs>
          <w:tab w:val="left" w:pos="1080"/>
        </w:tabs>
        <w:spacing w:before="312"/>
        <w:ind w:left="1080" w:hanging="1080"/>
      </w:pPr>
      <w:r>
        <w:rPr>
          <w:rFonts w:hint="eastAsia"/>
        </w:rPr>
        <w:t>保单贷款</w:t>
      </w:r>
    </w:p>
    <w:p w14:paraId="2C50D5AB" w14:textId="77777777" w:rsidR="008F265F" w:rsidRDefault="00A542E4">
      <w:pPr>
        <w:pStyle w:val="af5"/>
        <w:spacing w:before="156"/>
        <w:rPr>
          <w:kern w:val="0"/>
        </w:rPr>
      </w:pPr>
      <w:r>
        <w:rPr>
          <w:rFonts w:hint="eastAsia"/>
          <w:kern w:val="0"/>
        </w:rPr>
        <w:t>经被保险人书面同意，您可申请使用保单贷款功能。</w:t>
      </w:r>
    </w:p>
    <w:p w14:paraId="3421BD70" w14:textId="77777777" w:rsidR="008F265F" w:rsidRDefault="00A542E4">
      <w:pPr>
        <w:pStyle w:val="af5"/>
        <w:spacing w:before="156"/>
        <w:rPr>
          <w:kern w:val="0"/>
        </w:rPr>
      </w:pPr>
      <w:r>
        <w:rPr>
          <w:rFonts w:hint="eastAsia"/>
          <w:kern w:val="0"/>
        </w:rPr>
        <w:t>在本主险合同保险期间内，经我们审核同意后您可在犹豫期后办理保单贷款。贷款金额不得超过申请贷款时本主险合同现金价值的</w:t>
      </w:r>
      <w:r>
        <w:rPr>
          <w:kern w:val="0"/>
        </w:rPr>
        <w:t>7</w:t>
      </w:r>
      <w:r>
        <w:rPr>
          <w:rFonts w:hint="eastAsia"/>
          <w:kern w:val="0"/>
        </w:rPr>
        <w:t>0%扣除各项欠款后的余额，每次保单贷款的最低金额不得少于人民币伍佰元，贷款期限最长不超过六个月，</w:t>
      </w:r>
      <w:r>
        <w:rPr>
          <w:rFonts w:hint="eastAsia"/>
          <w:b/>
          <w:kern w:val="0"/>
        </w:rPr>
        <w:t>贷款利率按您与我们签订的贷款协议中约定的利率执行，逾期期间的利率按前述利率再加一个百分点执行</w:t>
      </w:r>
      <w:r>
        <w:rPr>
          <w:rFonts w:hint="eastAsia"/>
          <w:kern w:val="0"/>
        </w:rPr>
        <w:t>。我们会参考贷款市场利率水平、公司资金成本、保险资金运用水平、公司流动性状况等因素并根据不同产品类型、产品定价利率等综合确定保单贷款利率。</w:t>
      </w:r>
    </w:p>
    <w:p w14:paraId="0D6D53FF" w14:textId="77777777" w:rsidR="008F265F" w:rsidRDefault="00A542E4">
      <w:pPr>
        <w:pStyle w:val="af5"/>
        <w:spacing w:before="156"/>
        <w:rPr>
          <w:kern w:val="0"/>
        </w:rPr>
      </w:pPr>
      <w:r>
        <w:rPr>
          <w:rFonts w:hint="eastAsia"/>
          <w:kern w:val="0"/>
        </w:rPr>
        <w:t>您应在贷款到期时一并归还贷款本息。</w:t>
      </w:r>
      <w:r>
        <w:rPr>
          <w:rFonts w:hint="eastAsia"/>
          <w:b/>
          <w:kern w:val="0"/>
        </w:rPr>
        <w:t>若您到期未能足额偿还贷款本息，则您所欠的贷款本金及利息将作为新的贷款本金计息</w:t>
      </w:r>
      <w:r>
        <w:rPr>
          <w:rFonts w:hint="eastAsia"/>
          <w:kern w:val="0"/>
        </w:rPr>
        <w:t>。</w:t>
      </w:r>
    </w:p>
    <w:p w14:paraId="363C1D1A" w14:textId="77777777" w:rsidR="008F265F" w:rsidRDefault="00A542E4">
      <w:pPr>
        <w:pStyle w:val="af5"/>
        <w:spacing w:before="156"/>
        <w:rPr>
          <w:kern w:val="0"/>
        </w:rPr>
      </w:pPr>
      <w:r>
        <w:rPr>
          <w:rFonts w:hint="eastAsia"/>
          <w:kern w:val="0"/>
        </w:rPr>
        <w:t>若在保单贷款期间发生保险事故，我们会承担保险责任，但在给付保险金时会扣减您未还贷款的本金及利息。</w:t>
      </w:r>
    </w:p>
    <w:p w14:paraId="3B354284" w14:textId="77777777" w:rsidR="008F265F" w:rsidRDefault="00A542E4">
      <w:pPr>
        <w:pStyle w:val="af5"/>
        <w:spacing w:before="156"/>
        <w:rPr>
          <w:kern w:val="0"/>
        </w:rPr>
      </w:pPr>
      <w:r>
        <w:rPr>
          <w:rFonts w:hint="eastAsia"/>
          <w:kern w:val="0"/>
        </w:rPr>
        <w:lastRenderedPageBreak/>
        <w:t>当未偿还贷款本金及利息之和加上其他未还款项达到本主险合同现金价值当日二十四时，本主险合同的效力中止。</w:t>
      </w:r>
    </w:p>
    <w:p w14:paraId="05459427" w14:textId="77777777" w:rsidR="008F265F" w:rsidRDefault="00A542E4">
      <w:pPr>
        <w:pStyle w:val="af4"/>
        <w:spacing w:before="468"/>
        <w:rPr>
          <w:sz w:val="24"/>
        </w:rPr>
      </w:pPr>
      <w:r>
        <w:rPr>
          <w:rFonts w:hint="eastAsia"/>
          <w:sz w:val="24"/>
        </w:rPr>
        <w:t>第</w:t>
      </w:r>
      <w:r>
        <w:rPr>
          <w:sz w:val="24"/>
        </w:rPr>
        <w:t>七</w:t>
      </w:r>
      <w:r>
        <w:rPr>
          <w:rFonts w:hint="eastAsia"/>
          <w:sz w:val="24"/>
        </w:rPr>
        <w:t>章  需</w:t>
      </w:r>
      <w:r>
        <w:rPr>
          <w:sz w:val="24"/>
        </w:rPr>
        <w:t>关注的其他内容</w:t>
      </w:r>
    </w:p>
    <w:p w14:paraId="5951599C" w14:textId="77777777" w:rsidR="008F265F" w:rsidRDefault="00A542E4">
      <w:pPr>
        <w:pStyle w:val="af4"/>
        <w:spacing w:beforeLines="50" w:before="156"/>
        <w:rPr>
          <w:rFonts w:eastAsia="楷体"/>
          <w:b w:val="0"/>
        </w:rPr>
      </w:pPr>
      <w:r>
        <w:rPr>
          <w:rFonts w:eastAsia="楷体" w:hint="eastAsia"/>
          <w:b w:val="0"/>
        </w:rPr>
        <w:t>这部分讲的是您应当注意的其他事项。</w:t>
      </w:r>
    </w:p>
    <w:p w14:paraId="20E78D6A" w14:textId="77777777" w:rsidR="008F265F" w:rsidRDefault="00992274">
      <w:pPr>
        <w:pStyle w:val="af4"/>
        <w:spacing w:beforeLines="0"/>
        <w:jc w:val="both"/>
        <w:rPr>
          <w:rFonts w:eastAsia="楷体"/>
          <w:b w:val="0"/>
        </w:rPr>
      </w:pPr>
      <w:r>
        <w:rPr>
          <w:rFonts w:eastAsia="楷体"/>
          <w:b w:val="0"/>
          <w:sz w:val="18"/>
        </w:rPr>
        <w:pict w14:anchorId="32411DCB">
          <v:rect id="_x0000_i1031" style="width:453.6pt;height:1pt" o:hralign="center" o:hrstd="t" o:hrnoshade="t" o:hr="t" fillcolor="black" stroked="f"/>
        </w:pict>
      </w:r>
    </w:p>
    <w:p w14:paraId="0FA24DAD" w14:textId="77777777" w:rsidR="008F265F" w:rsidRDefault="00A542E4">
      <w:pPr>
        <w:pStyle w:val="a"/>
        <w:tabs>
          <w:tab w:val="left" w:pos="1080"/>
        </w:tabs>
        <w:spacing w:before="312"/>
        <w:ind w:left="1080" w:hanging="1080"/>
      </w:pPr>
      <w:r>
        <w:t>合同构成</w:t>
      </w:r>
    </w:p>
    <w:p w14:paraId="608AAE60" w14:textId="77777777" w:rsidR="008F265F" w:rsidRDefault="00A542E4">
      <w:pPr>
        <w:spacing w:beforeLines="50" w:before="156"/>
        <w:ind w:firstLineChars="200" w:firstLine="420"/>
        <w:rPr>
          <w:rFonts w:ascii="宋体" w:hAnsi="宋体"/>
        </w:rPr>
      </w:pPr>
      <w:r>
        <w:rPr>
          <w:rFonts w:ascii="宋体" w:hAnsi="宋体" w:hint="eastAsia"/>
        </w:rPr>
        <w:t>本主险合同由本保险条款、保险单或其他保险凭证、投保单、与本主险合同有关的投保文件、声明、批注、批单以及与本主险合同有关的其他书面材料共同构成。</w:t>
      </w:r>
    </w:p>
    <w:p w14:paraId="4350927C" w14:textId="77777777" w:rsidR="008F265F" w:rsidRDefault="00A542E4">
      <w:pPr>
        <w:pStyle w:val="a"/>
        <w:tabs>
          <w:tab w:val="left" w:pos="1276"/>
        </w:tabs>
        <w:spacing w:before="312"/>
        <w:ind w:left="1276" w:hanging="1276"/>
      </w:pPr>
      <w:r>
        <w:rPr>
          <w:rFonts w:hint="eastAsia"/>
        </w:rPr>
        <w:t>合同成立与生效</w:t>
      </w:r>
    </w:p>
    <w:p w14:paraId="05107152" w14:textId="77777777" w:rsidR="008F265F" w:rsidRDefault="00A542E4">
      <w:pPr>
        <w:pStyle w:val="af5"/>
        <w:spacing w:before="156"/>
        <w:ind w:firstLineChars="202" w:firstLine="424"/>
      </w:pPr>
      <w:r>
        <w:rPr>
          <w:rFonts w:hint="eastAsia"/>
        </w:rPr>
        <w:t>您提出保险申请且我们同意承保，本主险合同成立。本主险合同成立日期在保险单上载明。</w:t>
      </w:r>
    </w:p>
    <w:p w14:paraId="62D81B32" w14:textId="77777777" w:rsidR="008F265F" w:rsidRDefault="00A542E4">
      <w:pPr>
        <w:pStyle w:val="af5"/>
        <w:spacing w:before="156"/>
      </w:pPr>
      <w:r>
        <w:rPr>
          <w:rFonts w:hint="eastAsia"/>
        </w:rPr>
        <w:t>本主险合同生效日期在保险单上载明。保单周年日</w:t>
      </w:r>
      <w:r>
        <w:t>、</w:t>
      </w:r>
      <w:r>
        <w:rPr>
          <w:rFonts w:hint="eastAsia"/>
        </w:rPr>
        <w:t>保单</w:t>
      </w:r>
      <w:r>
        <w:t>年度</w:t>
      </w:r>
      <w:r>
        <w:rPr>
          <w:rFonts w:hint="eastAsia"/>
          <w:kern w:val="0"/>
        </w:rPr>
        <w:t>、保险费约定支付日和保险合同期满日均以合同生效日为基准计算。</w:t>
      </w:r>
    </w:p>
    <w:p w14:paraId="17984726" w14:textId="77777777" w:rsidR="008F265F" w:rsidRDefault="00A542E4">
      <w:pPr>
        <w:pStyle w:val="af5"/>
        <w:spacing w:before="156"/>
      </w:pPr>
      <w:r>
        <w:rPr>
          <w:rFonts w:hint="eastAsia"/>
        </w:rPr>
        <w:t>除另有约定外，我们自本主险合同生效时开始承担保险责任。</w:t>
      </w:r>
    </w:p>
    <w:p w14:paraId="47EE4B8E" w14:textId="77777777" w:rsidR="008F265F" w:rsidRDefault="00A542E4">
      <w:pPr>
        <w:pStyle w:val="a"/>
        <w:tabs>
          <w:tab w:val="left" w:pos="1276"/>
        </w:tabs>
        <w:spacing w:before="312"/>
        <w:ind w:left="1276" w:hanging="1276"/>
      </w:pPr>
      <w:r>
        <w:rPr>
          <w:rFonts w:hint="eastAsia"/>
        </w:rPr>
        <w:t>未成年人身故</w:t>
      </w:r>
      <w:r>
        <w:t>保险金</w:t>
      </w:r>
      <w:r>
        <w:rPr>
          <w:rFonts w:hint="eastAsia"/>
        </w:rPr>
        <w:t>限制</w:t>
      </w:r>
    </w:p>
    <w:p w14:paraId="1BD55CC2" w14:textId="77777777" w:rsidR="008F265F" w:rsidRDefault="00A542E4">
      <w:pPr>
        <w:pStyle w:val="af5"/>
        <w:spacing w:before="156"/>
      </w:pPr>
      <w:r>
        <w:rPr>
          <w:rFonts w:hint="eastAsia"/>
        </w:rPr>
        <w:t>为未成年人投保的人身保险，在被保险人成年之前，因被保险人身故给付的保险金总和不得超过国务院保险监督管理机构规定的限额，身故给付的保险金额总和约定也不得超过前述限额</w:t>
      </w:r>
      <w:r>
        <w:t>。</w:t>
      </w:r>
    </w:p>
    <w:p w14:paraId="63542D9B" w14:textId="77777777" w:rsidR="008F265F" w:rsidRDefault="00A542E4">
      <w:pPr>
        <w:pStyle w:val="a"/>
        <w:tabs>
          <w:tab w:val="left" w:pos="1276"/>
        </w:tabs>
        <w:spacing w:before="312"/>
        <w:ind w:left="1276" w:hanging="1276"/>
      </w:pPr>
      <w:r>
        <w:rPr>
          <w:rFonts w:hint="eastAsia"/>
        </w:rPr>
        <w:lastRenderedPageBreak/>
        <w:t>明确说明与如实告知</w:t>
      </w:r>
    </w:p>
    <w:p w14:paraId="2F6676D1" w14:textId="77777777" w:rsidR="008F265F" w:rsidRDefault="00A542E4">
      <w:pPr>
        <w:pStyle w:val="af5"/>
        <w:spacing w:before="156"/>
      </w:pPr>
      <w:r>
        <w:rPr>
          <w:rFonts w:hint="eastAsia"/>
        </w:rPr>
        <w:t>订立本主险合同时，我们应当向您说明本主险合同的内容。对保险条款中免除我们责任的条款，我们在订立合同时应当在投保单、保险单或者其他保险凭证上作出足以引起您注意的提示，并对该条款的内容以书面或者口头形式向您作出明确说明，未作提示或者明确说明的，该条款不成为合同的内容。</w:t>
      </w:r>
    </w:p>
    <w:p w14:paraId="08E8EBCC" w14:textId="77777777" w:rsidR="008F265F" w:rsidRDefault="00A542E4">
      <w:pPr>
        <w:pStyle w:val="af5"/>
        <w:spacing w:before="156"/>
      </w:pPr>
      <w:r>
        <w:rPr>
          <w:rFonts w:hint="eastAsia"/>
        </w:rPr>
        <w:t>订立本主险合同时，我们就您和被保险人的有关情况提出询问，您应当如实告知。</w:t>
      </w:r>
    </w:p>
    <w:p w14:paraId="6AAAA99A" w14:textId="77777777" w:rsidR="008F265F" w:rsidRDefault="00A542E4">
      <w:pPr>
        <w:pStyle w:val="af5"/>
        <w:spacing w:before="156"/>
        <w:ind w:firstLine="422"/>
        <w:rPr>
          <w:b/>
        </w:rPr>
      </w:pPr>
      <w:r>
        <w:rPr>
          <w:rFonts w:hint="eastAsia"/>
          <w:b/>
        </w:rPr>
        <w:t>如果您故意或者因重大过失未履行前款规定的如实告知义务，足以影响我们决定是否同意承保或者提高保险费率的，我们有权解除本主险合同。</w:t>
      </w:r>
    </w:p>
    <w:p w14:paraId="30397780" w14:textId="77777777" w:rsidR="008F265F" w:rsidRDefault="00A542E4">
      <w:pPr>
        <w:pStyle w:val="af5"/>
        <w:spacing w:before="156"/>
        <w:ind w:firstLine="422"/>
        <w:rPr>
          <w:b/>
        </w:rPr>
      </w:pPr>
      <w:r>
        <w:rPr>
          <w:rFonts w:hint="eastAsia"/>
          <w:b/>
        </w:rPr>
        <w:t>如果您故意不履行如实告知义务，对于本主险合同解除前发生的保险事故，我们不承担保险责任，并不退还保险费。</w:t>
      </w:r>
    </w:p>
    <w:p w14:paraId="27AA3B53" w14:textId="77777777" w:rsidR="008F265F" w:rsidRDefault="00A542E4">
      <w:pPr>
        <w:pStyle w:val="af5"/>
        <w:spacing w:before="156"/>
        <w:ind w:firstLine="422"/>
      </w:pPr>
      <w:r>
        <w:rPr>
          <w:rFonts w:hint="eastAsia"/>
          <w:b/>
        </w:rPr>
        <w:t>如果您因重大过失未履行如实告知义务，对保险事故的发生有严重影响的，对于本主险合同解除前发生的保险事故，我们不承担保险责任，但会向您退还保险费。</w:t>
      </w:r>
    </w:p>
    <w:p w14:paraId="48B2A01D" w14:textId="77777777" w:rsidR="008F265F" w:rsidRDefault="00A542E4">
      <w:pPr>
        <w:pStyle w:val="a"/>
        <w:tabs>
          <w:tab w:val="left" w:pos="1276"/>
        </w:tabs>
        <w:spacing w:before="312"/>
        <w:ind w:left="1276" w:hanging="1276"/>
      </w:pPr>
      <w:r>
        <w:rPr>
          <w:rFonts w:hint="eastAsia"/>
        </w:rPr>
        <w:t>年龄性别错误的处理</w:t>
      </w:r>
    </w:p>
    <w:p w14:paraId="07B564E3" w14:textId="77777777" w:rsidR="008F265F" w:rsidRDefault="00A542E4">
      <w:pPr>
        <w:pStyle w:val="af5"/>
        <w:spacing w:before="156"/>
      </w:pPr>
      <w:r>
        <w:rPr>
          <w:rFonts w:hint="eastAsia"/>
        </w:rPr>
        <w:t>您在申请投保时，应将与有效身份证件相符的被保险人的出生日期和性别在投保单上填明，如果发生错误按照下列方式办理：</w:t>
      </w:r>
    </w:p>
    <w:p w14:paraId="54EBFE9A" w14:textId="77777777" w:rsidR="008F265F" w:rsidRDefault="00A542E4">
      <w:pPr>
        <w:pStyle w:val="af5"/>
        <w:spacing w:beforeLines="0"/>
        <w:ind w:firstLineChars="0"/>
        <w:rPr>
          <w:b/>
        </w:rPr>
      </w:pPr>
      <w:r>
        <w:rPr>
          <w:rFonts w:hint="eastAsia"/>
        </w:rPr>
        <w:t>一、</w:t>
      </w:r>
      <w:r>
        <w:rPr>
          <w:rFonts w:hint="eastAsia"/>
          <w:b/>
        </w:rPr>
        <w:t>您申报的被保险人年龄或性别不真实，并且其真实年龄或性别不</w:t>
      </w:r>
      <w:r>
        <w:rPr>
          <w:rFonts w:hint="eastAsia"/>
          <w:b/>
        </w:rPr>
        <w:lastRenderedPageBreak/>
        <w:t>符合本主险合同约定投保年龄或性别限制的，我们有权解除本主险合同，并向您退还本主险合同的现金价值。对于本主险合同解除前发生的保险事故，我们不承担保险责任；</w:t>
      </w:r>
    </w:p>
    <w:p w14:paraId="7C93453D" w14:textId="77777777" w:rsidR="008F265F" w:rsidRPr="003B685F" w:rsidRDefault="00A542E4">
      <w:pPr>
        <w:pStyle w:val="af5"/>
        <w:spacing w:beforeLines="0"/>
        <w:rPr>
          <w:shd w:val="pct15" w:color="auto" w:fill="FFFFFF"/>
        </w:rPr>
      </w:pPr>
      <w:r w:rsidRPr="003B685F">
        <w:rPr>
          <w:rFonts w:hint="eastAsia"/>
          <w:shd w:val="pct15" w:color="auto" w:fill="FFFFFF"/>
        </w:rPr>
        <w:t>二、您申报的被保险人年龄或性别不真实，致使您实付保险费少于应付保险费的，我们有权更正并要求您补交保险费。</w:t>
      </w:r>
      <w:r w:rsidRPr="003B685F">
        <w:rPr>
          <w:shd w:val="pct15" w:color="auto" w:fill="FFFFFF"/>
        </w:rPr>
        <w:t>如果</w:t>
      </w:r>
      <w:r w:rsidRPr="003B685F">
        <w:rPr>
          <w:rFonts w:hint="eastAsia"/>
          <w:shd w:val="pct15" w:color="auto" w:fill="FFFFFF"/>
        </w:rPr>
        <w:t>已经发生保险事故，在给付保险金时按实付保险费和应付保险费的比例给付；</w:t>
      </w:r>
    </w:p>
    <w:p w14:paraId="38D4398F" w14:textId="77777777" w:rsidR="008F265F" w:rsidRDefault="00A542E4">
      <w:pPr>
        <w:pStyle w:val="af5"/>
        <w:spacing w:beforeLines="0"/>
        <w:rPr>
          <w:shd w:val="pct10" w:color="auto" w:fill="FFFFFF"/>
        </w:rPr>
      </w:pPr>
      <w:r>
        <w:rPr>
          <w:rFonts w:hint="eastAsia"/>
        </w:rPr>
        <w:t>三、您申报的被保险人年龄或性别不真实，致使您实付保险费多于应付保险费的，我们向您退还多收的保险费。</w:t>
      </w:r>
    </w:p>
    <w:p w14:paraId="40B0FB4A" w14:textId="77777777" w:rsidR="008F265F" w:rsidRDefault="00A542E4">
      <w:pPr>
        <w:pStyle w:val="a"/>
        <w:tabs>
          <w:tab w:val="left" w:pos="1276"/>
        </w:tabs>
        <w:spacing w:before="312"/>
        <w:ind w:left="1276" w:hanging="1276"/>
      </w:pPr>
      <w:r>
        <w:rPr>
          <w:rFonts w:hint="eastAsia"/>
        </w:rPr>
        <w:t>未还款项</w:t>
      </w:r>
    </w:p>
    <w:p w14:paraId="60A525A4" w14:textId="77777777" w:rsidR="008F265F" w:rsidRDefault="00A542E4">
      <w:pPr>
        <w:pStyle w:val="af5"/>
        <w:spacing w:before="156"/>
        <w:ind w:firstLine="422"/>
        <w:rPr>
          <w:b/>
        </w:rPr>
      </w:pPr>
      <w:r>
        <w:rPr>
          <w:rFonts w:hint="eastAsia"/>
          <w:b/>
        </w:rPr>
        <w:t>我们在给付各项保险金、退还现金价值或者退还保险费时，如果您有欠交的保险费、保单贷款或者其他欠款，我们先扣除上述各项欠款及应付利息。</w:t>
      </w:r>
    </w:p>
    <w:p w14:paraId="3AA1E3AA" w14:textId="77777777" w:rsidR="008F265F" w:rsidRDefault="00A542E4">
      <w:pPr>
        <w:pStyle w:val="a"/>
        <w:tabs>
          <w:tab w:val="left" w:pos="1276"/>
        </w:tabs>
        <w:spacing w:before="312"/>
        <w:ind w:left="1276" w:hanging="1276"/>
      </w:pPr>
      <w:r>
        <w:rPr>
          <w:rFonts w:hint="eastAsia"/>
        </w:rPr>
        <w:t>合同内容变更</w:t>
      </w:r>
    </w:p>
    <w:p w14:paraId="6FA7B77D" w14:textId="77777777" w:rsidR="008F265F" w:rsidRDefault="00A542E4">
      <w:pPr>
        <w:pStyle w:val="af5"/>
        <w:spacing w:before="156"/>
      </w:pPr>
      <w:r>
        <w:rPr>
          <w:rFonts w:hint="eastAsia"/>
        </w:rPr>
        <w:t>经您与我们协商一致，可以变更本主险合同的有关内容。变更本主险合同的，应当由我们在保险合同上批注或者附贴批单，或者由您与我们订立书面的变更协议。</w:t>
      </w:r>
    </w:p>
    <w:p w14:paraId="1037223C" w14:textId="77777777" w:rsidR="008F265F" w:rsidRDefault="00A542E4">
      <w:pPr>
        <w:pStyle w:val="a"/>
        <w:tabs>
          <w:tab w:val="clear" w:pos="562"/>
          <w:tab w:val="left" w:pos="1276"/>
        </w:tabs>
        <w:spacing w:before="312"/>
        <w:ind w:left="1276" w:hanging="1276"/>
      </w:pPr>
      <w:r>
        <w:rPr>
          <w:rFonts w:hint="eastAsia"/>
        </w:rPr>
        <w:t>联系方式变更</w:t>
      </w:r>
    </w:p>
    <w:p w14:paraId="2E2919F6" w14:textId="77777777" w:rsidR="008F265F" w:rsidRDefault="00A542E4">
      <w:pPr>
        <w:pStyle w:val="a"/>
        <w:numPr>
          <w:ilvl w:val="0"/>
          <w:numId w:val="0"/>
        </w:numPr>
        <w:tabs>
          <w:tab w:val="clear" w:pos="420"/>
          <w:tab w:val="clear" w:pos="562"/>
        </w:tabs>
        <w:spacing w:beforeLines="50" w:before="156"/>
        <w:ind w:firstLineChars="200" w:firstLine="420"/>
      </w:pPr>
      <w:r>
        <w:rPr>
          <w:rFonts w:hint="eastAsia"/>
          <w:b w:val="0"/>
        </w:rPr>
        <w:t>为了保障您的合法权益，您的住所、通讯地址、电话或电子邮件等联系方式变更时，请及时以书面形式或双方认可的其他形式通知我们。若您未以书面形式或双方认可的其他形式通知我们，我们按本主险合同载明的最后</w:t>
      </w:r>
      <w:r>
        <w:rPr>
          <w:rFonts w:hint="eastAsia"/>
          <w:b w:val="0"/>
        </w:rPr>
        <w:lastRenderedPageBreak/>
        <w:t>联系方式所发送的有关通知，均视为已送达给您</w:t>
      </w:r>
      <w:r>
        <w:rPr>
          <w:b w:val="0"/>
          <w:bCs w:val="0"/>
        </w:rPr>
        <w:t>。</w:t>
      </w:r>
    </w:p>
    <w:p w14:paraId="79D5B4C0" w14:textId="77777777" w:rsidR="008F265F" w:rsidRDefault="00A542E4">
      <w:pPr>
        <w:pStyle w:val="a"/>
        <w:tabs>
          <w:tab w:val="left" w:pos="1276"/>
        </w:tabs>
        <w:spacing w:before="312"/>
        <w:ind w:left="1276" w:hanging="1276"/>
      </w:pPr>
      <w:r>
        <w:rPr>
          <w:rFonts w:hint="eastAsia"/>
        </w:rPr>
        <w:t>争议处理</w:t>
      </w:r>
    </w:p>
    <w:p w14:paraId="16842768" w14:textId="77777777" w:rsidR="008F265F" w:rsidRDefault="00A542E4">
      <w:pPr>
        <w:pStyle w:val="30"/>
        <w:numPr>
          <w:ilvl w:val="0"/>
          <w:numId w:val="0"/>
        </w:numPr>
        <w:spacing w:beforeLines="50" w:before="156"/>
        <w:ind w:firstLine="420"/>
        <w:rPr>
          <w:b w:val="0"/>
          <w:bCs w:val="0"/>
        </w:rPr>
      </w:pPr>
      <w:r>
        <w:rPr>
          <w:rFonts w:hint="eastAsia"/>
          <w:b w:val="0"/>
          <w:bCs w:val="0"/>
        </w:rPr>
        <w:t>本主险合同争议的解决方式，由当事人在保险合同中约定从下列两种方式中选择一种：</w:t>
      </w:r>
    </w:p>
    <w:p w14:paraId="66E88BC8" w14:textId="77777777" w:rsidR="008F265F" w:rsidRDefault="00A542E4">
      <w:pPr>
        <w:pStyle w:val="30"/>
        <w:numPr>
          <w:ilvl w:val="0"/>
          <w:numId w:val="0"/>
        </w:numPr>
        <w:spacing w:beforeLines="0" w:before="0"/>
        <w:ind w:firstLine="420"/>
        <w:rPr>
          <w:b w:val="0"/>
          <w:bCs w:val="0"/>
        </w:rPr>
      </w:pPr>
      <w:r>
        <w:rPr>
          <w:rFonts w:hint="eastAsia"/>
          <w:b w:val="0"/>
          <w:bCs w:val="0"/>
        </w:rPr>
        <w:t>一、因履行本主险合同发生的争议，由当事人协商解决，协商不成的，提交</w:t>
      </w:r>
      <w:r>
        <w:rPr>
          <w:b w:val="0"/>
          <w:bCs w:val="0"/>
        </w:rPr>
        <w:t>xxx</w:t>
      </w:r>
      <w:r>
        <w:rPr>
          <w:rFonts w:hint="eastAsia"/>
          <w:b w:val="0"/>
          <w:bCs w:val="0"/>
        </w:rPr>
        <w:t>仲裁委员会仲裁；</w:t>
      </w:r>
    </w:p>
    <w:p w14:paraId="0247710B" w14:textId="77777777" w:rsidR="008F265F" w:rsidRDefault="00A542E4">
      <w:pPr>
        <w:pStyle w:val="30"/>
        <w:numPr>
          <w:ilvl w:val="0"/>
          <w:numId w:val="0"/>
        </w:numPr>
        <w:spacing w:beforeLines="0" w:before="0"/>
        <w:ind w:firstLineChars="200" w:firstLine="420"/>
        <w:rPr>
          <w:b w:val="0"/>
          <w:bCs w:val="0"/>
        </w:rPr>
      </w:pPr>
      <w:r>
        <w:rPr>
          <w:rFonts w:hint="eastAsia"/>
          <w:b w:val="0"/>
          <w:bCs w:val="0"/>
        </w:rPr>
        <w:t>二、因履行本主险合同发生的争议，由当事人协商解决，协商不成的，依法向人民法院提起诉讼</w:t>
      </w:r>
      <w:r>
        <w:rPr>
          <w:b w:val="0"/>
        </w:rPr>
        <w:t>。</w:t>
      </w:r>
    </w:p>
    <w:p w14:paraId="09C8705E" w14:textId="77777777" w:rsidR="008F265F" w:rsidRDefault="00A542E4">
      <w:pPr>
        <w:pStyle w:val="af4"/>
        <w:spacing w:before="468"/>
        <w:rPr>
          <w:sz w:val="24"/>
        </w:rPr>
      </w:pPr>
      <w:r>
        <w:rPr>
          <w:rFonts w:hint="eastAsia"/>
          <w:sz w:val="24"/>
        </w:rPr>
        <w:t>第八章  疾病释义</w:t>
      </w:r>
    </w:p>
    <w:p w14:paraId="698B708F" w14:textId="77777777" w:rsidR="008F265F" w:rsidRDefault="00A542E4">
      <w:pPr>
        <w:pStyle w:val="af4"/>
        <w:spacing w:beforeLines="50" w:before="156"/>
        <w:rPr>
          <w:rFonts w:eastAsia="楷体"/>
          <w:b w:val="0"/>
        </w:rPr>
      </w:pPr>
      <w:r>
        <w:rPr>
          <w:rFonts w:eastAsia="楷体"/>
          <w:b w:val="0"/>
        </w:rPr>
        <w:t>这部分讲的是我们提供保障的</w:t>
      </w:r>
      <w:r>
        <w:rPr>
          <w:rFonts w:eastAsia="楷体" w:hint="eastAsia"/>
          <w:b w:val="0"/>
        </w:rPr>
        <w:t>轻症疾病、中症疾病、</w:t>
      </w:r>
      <w:r>
        <w:rPr>
          <w:rFonts w:eastAsia="楷体"/>
          <w:b w:val="0"/>
        </w:rPr>
        <w:t>重大疾病、少儿特定疾病和少儿罕见疾病的定义</w:t>
      </w:r>
      <w:r>
        <w:rPr>
          <w:rFonts w:eastAsia="楷体" w:hint="eastAsia"/>
          <w:b w:val="0"/>
        </w:rPr>
        <w:t>，其中</w:t>
      </w:r>
      <w:r>
        <w:rPr>
          <w:rFonts w:eastAsia="楷体"/>
          <w:b w:val="0"/>
        </w:rPr>
        <w:t>包含一些免责条款</w:t>
      </w:r>
      <w:r>
        <w:rPr>
          <w:rFonts w:eastAsia="楷体" w:hint="eastAsia"/>
          <w:b w:val="0"/>
        </w:rPr>
        <w:t>（背景突出显示的内容），请</w:t>
      </w:r>
      <w:r>
        <w:rPr>
          <w:rFonts w:eastAsia="楷体"/>
          <w:b w:val="0"/>
        </w:rPr>
        <w:t>您特别留意</w:t>
      </w:r>
      <w:r>
        <w:rPr>
          <w:rFonts w:eastAsia="楷体" w:hint="eastAsia"/>
          <w:b w:val="0"/>
        </w:rPr>
        <w:t>。</w:t>
      </w:r>
    </w:p>
    <w:p w14:paraId="256A0771" w14:textId="77777777" w:rsidR="008F265F" w:rsidRDefault="00992274">
      <w:pPr>
        <w:pStyle w:val="af4"/>
        <w:spacing w:beforeLines="0"/>
        <w:jc w:val="both"/>
        <w:rPr>
          <w:shd w:val="pct10" w:color="auto" w:fill="FFFFFF"/>
        </w:rPr>
      </w:pPr>
      <w:r>
        <w:rPr>
          <w:rFonts w:eastAsia="楷体"/>
          <w:b w:val="0"/>
          <w:sz w:val="18"/>
        </w:rPr>
        <w:pict w14:anchorId="343B0D1D">
          <v:rect id="_x0000_i1032" style="width:453.6pt;height:1pt" o:hralign="center" o:hrstd="t" o:hrnoshade="t" o:hr="t" fillcolor="black" stroked="f"/>
        </w:pict>
      </w:r>
    </w:p>
    <w:p w14:paraId="4B9CF4F8" w14:textId="77777777" w:rsidR="008F265F" w:rsidRDefault="00A542E4">
      <w:pPr>
        <w:numPr>
          <w:ilvl w:val="0"/>
          <w:numId w:val="1"/>
        </w:numPr>
        <w:tabs>
          <w:tab w:val="left" w:pos="420"/>
          <w:tab w:val="left" w:pos="1276"/>
        </w:tabs>
        <w:spacing w:beforeLines="100" w:before="312"/>
        <w:ind w:left="1276" w:hanging="1276"/>
        <w:rPr>
          <w:rFonts w:ascii="宋体" w:hAnsi="宋体"/>
          <w:b/>
          <w:bCs/>
        </w:rPr>
      </w:pPr>
      <w:r>
        <w:rPr>
          <w:rFonts w:ascii="宋体" w:hAnsi="宋体" w:hint="eastAsia"/>
          <w:b/>
          <w:bCs/>
        </w:rPr>
        <w:t>轻症疾病</w:t>
      </w:r>
      <w:r>
        <w:rPr>
          <w:rFonts w:ascii="宋体" w:hAnsi="宋体"/>
          <w:b/>
          <w:bCs/>
        </w:rPr>
        <w:t>的定义</w:t>
      </w:r>
    </w:p>
    <w:p w14:paraId="5F6EAE73" w14:textId="641AA9F5" w:rsidR="008F265F" w:rsidRDefault="00A542E4">
      <w:pPr>
        <w:spacing w:beforeLines="50" w:before="156"/>
        <w:ind w:firstLineChars="200" w:firstLine="420"/>
        <w:jc w:val="left"/>
        <w:rPr>
          <w:rFonts w:ascii="宋体" w:hAnsi="宋体"/>
        </w:rPr>
      </w:pPr>
      <w:r>
        <w:rPr>
          <w:rFonts w:ascii="宋体" w:hAnsi="宋体" w:hint="eastAsia"/>
        </w:rPr>
        <w:t>本条第一至三项轻症疾病定义是中国保险行业协会制定的轻症疾病的疾病定义；第四至五十一项为非中国保险行业协会制定的轻症疾病定义。</w:t>
      </w:r>
    </w:p>
    <w:p w14:paraId="3427623F" w14:textId="77777777" w:rsidR="008F265F" w:rsidRDefault="00A542E4">
      <w:pPr>
        <w:pStyle w:val="30"/>
        <w:numPr>
          <w:ilvl w:val="0"/>
          <w:numId w:val="2"/>
        </w:numPr>
        <w:tabs>
          <w:tab w:val="clear" w:pos="420"/>
          <w:tab w:val="clear" w:pos="562"/>
        </w:tabs>
        <w:spacing w:beforeLines="50" w:before="156"/>
        <w:ind w:left="851" w:hanging="425"/>
        <w:rPr>
          <w:b w:val="0"/>
        </w:rPr>
      </w:pPr>
      <w:r>
        <w:rPr>
          <w:rFonts w:hint="eastAsia"/>
          <w:b w:val="0"/>
        </w:rPr>
        <w:t>恶性肿瘤——轻度</w:t>
      </w:r>
    </w:p>
    <w:p w14:paraId="65F0D703" w14:textId="77777777" w:rsidR="008F265F" w:rsidRDefault="00A542E4">
      <w:pPr>
        <w:pStyle w:val="30"/>
        <w:numPr>
          <w:ilvl w:val="0"/>
          <w:numId w:val="0"/>
        </w:numPr>
        <w:spacing w:beforeLines="50" w:before="156"/>
        <w:ind w:firstLineChars="200" w:firstLine="420"/>
        <w:rPr>
          <w:b w:val="0"/>
        </w:rPr>
      </w:pPr>
      <w:r>
        <w:rPr>
          <w:rFonts w:hint="eastAsia"/>
          <w:b w:val="0"/>
        </w:rPr>
        <w:t>指恶性细胞不受控制的进行性增长和扩散，浸润和破坏周围正常组织，可以经血管、淋巴管和体腔扩散转移到身体其他部位，病灶经</w:t>
      </w:r>
      <w:r>
        <w:rPr>
          <w:rFonts w:hint="eastAsia"/>
        </w:rPr>
        <w:t>组织病理学</w:t>
      </w:r>
      <w:r>
        <w:rPr>
          <w:rFonts w:hint="eastAsia"/>
        </w:rPr>
        <w:lastRenderedPageBreak/>
        <w:t>检查</w:t>
      </w:r>
      <w:r>
        <w:rPr>
          <w:rStyle w:val="af3"/>
        </w:rPr>
        <w:footnoteReference w:id="33"/>
      </w:r>
      <w:r>
        <w:rPr>
          <w:rFonts w:hint="eastAsia"/>
          <w:b w:val="0"/>
        </w:rPr>
        <w:t>（涵盖骨髓病理学检查）结果明确诊断，临床诊断属于世界卫生组织（WHO，World Health Organization）《疾病和有关健康问题的国际统计分类》第十次修订版（</w:t>
      </w:r>
      <w:r>
        <w:t>ICD-10</w:t>
      </w:r>
      <w:r>
        <w:rPr>
          <w:rStyle w:val="af3"/>
        </w:rPr>
        <w:footnoteReference w:id="34"/>
      </w:r>
      <w:r>
        <w:rPr>
          <w:rFonts w:hint="eastAsia"/>
          <w:b w:val="0"/>
        </w:rPr>
        <w:t>）的恶性肿瘤类别及《国际疾病分类肿瘤学专辑》第三版（</w:t>
      </w:r>
      <w:r>
        <w:t>ICD-O-3</w:t>
      </w:r>
      <w:r>
        <w:rPr>
          <w:rStyle w:val="af3"/>
        </w:rPr>
        <w:footnoteReference w:id="35"/>
      </w:r>
      <w:r>
        <w:rPr>
          <w:rFonts w:hint="eastAsia"/>
          <w:b w:val="0"/>
        </w:rPr>
        <w:t>）的肿瘤形态学编码属于3、6、9（恶性肿瘤）范畴，但不在“恶性肿瘤——重度”保障范围的疾病。且特指下列六项之一：</w:t>
      </w:r>
    </w:p>
    <w:p w14:paraId="6D4BEC05" w14:textId="77777777" w:rsidR="008F265F" w:rsidRDefault="00A542E4">
      <w:pPr>
        <w:pStyle w:val="30"/>
        <w:numPr>
          <w:ilvl w:val="0"/>
          <w:numId w:val="0"/>
        </w:numPr>
        <w:spacing w:beforeLines="0" w:before="0"/>
        <w:ind w:firstLineChars="200" w:firstLine="420"/>
        <w:rPr>
          <w:b w:val="0"/>
        </w:rPr>
      </w:pPr>
      <w:r>
        <w:rPr>
          <w:rFonts w:hint="eastAsia"/>
          <w:b w:val="0"/>
        </w:rPr>
        <w:t>1</w:t>
      </w:r>
      <w:r>
        <w:rPr>
          <w:b w:val="0"/>
        </w:rPr>
        <w:t>.</w:t>
      </w:r>
      <w:r>
        <w:t>TNM分期</w:t>
      </w:r>
      <w:r>
        <w:rPr>
          <w:rStyle w:val="af3"/>
        </w:rPr>
        <w:footnoteReference w:id="36"/>
      </w:r>
      <w:r>
        <w:rPr>
          <w:rFonts w:hint="eastAsia"/>
          <w:b w:val="0"/>
        </w:rPr>
        <w:t>为Ⅰ期的甲状腺癌；</w:t>
      </w:r>
    </w:p>
    <w:p w14:paraId="6AFD2237" w14:textId="77777777" w:rsidR="008F265F" w:rsidRDefault="00A542E4">
      <w:pPr>
        <w:pStyle w:val="30"/>
        <w:numPr>
          <w:ilvl w:val="0"/>
          <w:numId w:val="0"/>
        </w:numPr>
        <w:spacing w:beforeLines="0" w:before="0"/>
        <w:ind w:leftChars="-1" w:left="-2" w:firstLineChars="203" w:firstLine="426"/>
        <w:rPr>
          <w:b w:val="0"/>
        </w:rPr>
      </w:pPr>
      <w:r>
        <w:rPr>
          <w:rFonts w:hint="eastAsia"/>
          <w:b w:val="0"/>
        </w:rPr>
        <w:t>2</w:t>
      </w:r>
      <w:r>
        <w:rPr>
          <w:b w:val="0"/>
        </w:rPr>
        <w:t>.</w:t>
      </w:r>
      <w:r>
        <w:rPr>
          <w:rFonts w:hint="eastAsia"/>
          <w:b w:val="0"/>
        </w:rPr>
        <w:t>TNM分期为</w:t>
      </w:r>
      <w:r>
        <w:rPr>
          <w:b w:val="0"/>
        </w:rPr>
        <w:t>T</w:t>
      </w:r>
      <w:r>
        <w:rPr>
          <w:b w:val="0"/>
          <w:vertAlign w:val="subscript"/>
        </w:rPr>
        <w:t>1</w:t>
      </w:r>
      <w:r>
        <w:rPr>
          <w:b w:val="0"/>
        </w:rPr>
        <w:t>N</w:t>
      </w:r>
      <w:r>
        <w:rPr>
          <w:b w:val="0"/>
          <w:vertAlign w:val="subscript"/>
        </w:rPr>
        <w:t>0</w:t>
      </w:r>
      <w:r>
        <w:rPr>
          <w:b w:val="0"/>
        </w:rPr>
        <w:t>M</w:t>
      </w:r>
      <w:r>
        <w:rPr>
          <w:b w:val="0"/>
          <w:vertAlign w:val="subscript"/>
        </w:rPr>
        <w:t>0</w:t>
      </w:r>
      <w:r>
        <w:rPr>
          <w:rFonts w:hint="eastAsia"/>
          <w:b w:val="0"/>
        </w:rPr>
        <w:t>期的前列腺癌；</w:t>
      </w:r>
    </w:p>
    <w:p w14:paraId="0C16999C" w14:textId="77777777" w:rsidR="008F265F" w:rsidRDefault="00A542E4">
      <w:pPr>
        <w:pStyle w:val="30"/>
        <w:numPr>
          <w:ilvl w:val="0"/>
          <w:numId w:val="0"/>
        </w:numPr>
        <w:spacing w:beforeLines="0" w:before="0"/>
        <w:ind w:leftChars="-1" w:left="-2" w:firstLineChars="203" w:firstLine="426"/>
        <w:rPr>
          <w:b w:val="0"/>
        </w:rPr>
      </w:pPr>
      <w:r>
        <w:rPr>
          <w:rFonts w:hint="eastAsia"/>
          <w:b w:val="0"/>
        </w:rPr>
        <w:t>3</w:t>
      </w:r>
      <w:r>
        <w:rPr>
          <w:b w:val="0"/>
        </w:rPr>
        <w:t>.</w:t>
      </w:r>
      <w:r>
        <w:rPr>
          <w:rFonts w:hint="eastAsia"/>
          <w:b w:val="0"/>
        </w:rPr>
        <w:t>黑色素瘤以外的未发生淋巴结和远处转移的皮肤恶性肿瘤；</w:t>
      </w:r>
    </w:p>
    <w:p w14:paraId="5A0FB270" w14:textId="77777777" w:rsidR="008F265F" w:rsidRDefault="00A542E4">
      <w:pPr>
        <w:pStyle w:val="30"/>
        <w:numPr>
          <w:ilvl w:val="0"/>
          <w:numId w:val="0"/>
        </w:numPr>
        <w:spacing w:beforeLines="0" w:before="0"/>
        <w:ind w:leftChars="-1" w:left="-2" w:firstLineChars="203" w:firstLine="426"/>
        <w:rPr>
          <w:b w:val="0"/>
        </w:rPr>
      </w:pPr>
      <w:r>
        <w:rPr>
          <w:rFonts w:hint="eastAsia"/>
          <w:b w:val="0"/>
        </w:rPr>
        <w:lastRenderedPageBreak/>
        <w:t>4</w:t>
      </w:r>
      <w:r>
        <w:rPr>
          <w:b w:val="0"/>
        </w:rPr>
        <w:t>.</w:t>
      </w:r>
      <w:r>
        <w:rPr>
          <w:rFonts w:hint="eastAsia"/>
          <w:b w:val="0"/>
        </w:rPr>
        <w:t>相当于Binet分期方案A期程度的慢性淋巴细胞白血病；</w:t>
      </w:r>
    </w:p>
    <w:p w14:paraId="273D5871" w14:textId="77777777" w:rsidR="008F265F" w:rsidRDefault="00A542E4">
      <w:pPr>
        <w:pStyle w:val="30"/>
        <w:numPr>
          <w:ilvl w:val="0"/>
          <w:numId w:val="0"/>
        </w:numPr>
        <w:spacing w:beforeLines="0" w:before="0"/>
        <w:ind w:leftChars="-1" w:left="-2" w:firstLineChars="203" w:firstLine="426"/>
        <w:rPr>
          <w:b w:val="0"/>
        </w:rPr>
      </w:pPr>
      <w:r>
        <w:rPr>
          <w:rFonts w:hint="eastAsia"/>
          <w:b w:val="0"/>
        </w:rPr>
        <w:t>5</w:t>
      </w:r>
      <w:r>
        <w:rPr>
          <w:b w:val="0"/>
        </w:rPr>
        <w:t>.</w:t>
      </w:r>
      <w:r>
        <w:rPr>
          <w:rFonts w:hint="eastAsia"/>
          <w:b w:val="0"/>
        </w:rPr>
        <w:t>相当于Ann Arbor分期方案Ⅰ期程度的何杰金氏病；</w:t>
      </w:r>
    </w:p>
    <w:p w14:paraId="7776B426" w14:textId="77777777" w:rsidR="008F265F" w:rsidRDefault="00A542E4">
      <w:pPr>
        <w:pStyle w:val="30"/>
        <w:numPr>
          <w:ilvl w:val="0"/>
          <w:numId w:val="0"/>
        </w:numPr>
        <w:spacing w:beforeLines="0" w:before="0"/>
        <w:ind w:leftChars="-1" w:left="-2" w:firstLineChars="203" w:firstLine="426"/>
        <w:rPr>
          <w:b w:val="0"/>
        </w:rPr>
      </w:pPr>
      <w:r>
        <w:rPr>
          <w:rFonts w:hint="eastAsia"/>
          <w:b w:val="0"/>
        </w:rPr>
        <w:t>6</w:t>
      </w:r>
      <w:r>
        <w:rPr>
          <w:b w:val="0"/>
        </w:rPr>
        <w:t>.</w:t>
      </w:r>
      <w:r>
        <w:rPr>
          <w:rFonts w:hint="eastAsia"/>
          <w:b w:val="0"/>
        </w:rPr>
        <w:t>未发生淋巴结和远处转移且WHO分级为G1级别（核分裂像</w:t>
      </w:r>
      <w:r>
        <w:rPr>
          <w:b w:val="0"/>
        </w:rPr>
        <w:t>＜</w:t>
      </w:r>
      <w:r>
        <w:rPr>
          <w:rFonts w:hint="eastAsia"/>
          <w:b w:val="0"/>
        </w:rPr>
        <w:t>10/50HPF和ki-67≤2%）的神经内分泌肿瘤。</w:t>
      </w:r>
    </w:p>
    <w:p w14:paraId="1FEA127D"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下列疾病不属于“恶性肿瘤——轻度”，不在保障范围内：</w:t>
      </w:r>
    </w:p>
    <w:p w14:paraId="71D40279"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ICD-O-3肿瘤形态学编码属于0（良性肿瘤）、1（动态未定性肿瘤）、2（原位癌和非侵袭性癌）范畴的疾病，如：</w:t>
      </w:r>
    </w:p>
    <w:p w14:paraId="6D6FDD95"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1</w:t>
      </w:r>
      <w:r w:rsidRPr="003B685F">
        <w:rPr>
          <w:b w:val="0"/>
          <w:shd w:val="pct15" w:color="auto" w:fill="FFFFFF"/>
        </w:rPr>
        <w:t>.</w:t>
      </w:r>
      <w:r w:rsidRPr="003B685F">
        <w:rPr>
          <w:rFonts w:hint="eastAsia"/>
          <w:b w:val="0"/>
          <w:shd w:val="pct15" w:color="auto" w:fill="FFFFFF"/>
        </w:rPr>
        <w:t>原位癌，癌前病变，非浸润性癌，非侵袭性癌，肿瘤细胞未侵犯基底层，上皮内瘤变，细胞不典型性增生等；</w:t>
      </w:r>
    </w:p>
    <w:p w14:paraId="77948042"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b w:val="0"/>
          <w:shd w:val="pct15" w:color="auto" w:fill="FFFFFF"/>
        </w:rPr>
        <w:t>2.</w:t>
      </w:r>
      <w:r w:rsidRPr="003B685F">
        <w:rPr>
          <w:rFonts w:hint="eastAsia"/>
          <w:b w:val="0"/>
          <w:shd w:val="pct15" w:color="auto" w:fill="FFFFFF"/>
        </w:rPr>
        <w:t>交界性肿瘤，交界恶性肿瘤，肿瘤低度恶性潜能，潜在低度恶性肿瘤等。</w:t>
      </w:r>
    </w:p>
    <w:p w14:paraId="170949CF" w14:textId="77777777" w:rsidR="008F265F" w:rsidRDefault="00A542E4">
      <w:pPr>
        <w:pStyle w:val="30"/>
        <w:numPr>
          <w:ilvl w:val="0"/>
          <w:numId w:val="2"/>
        </w:numPr>
        <w:tabs>
          <w:tab w:val="clear" w:pos="420"/>
          <w:tab w:val="clear" w:pos="562"/>
        </w:tabs>
        <w:spacing w:beforeLines="50" w:before="156"/>
        <w:ind w:leftChars="201" w:left="848" w:hangingChars="203" w:hanging="426"/>
        <w:rPr>
          <w:b w:val="0"/>
        </w:rPr>
      </w:pPr>
      <w:r>
        <w:rPr>
          <w:rFonts w:hint="eastAsia"/>
          <w:b w:val="0"/>
        </w:rPr>
        <w:t>较轻急性心肌梗死</w:t>
      </w:r>
    </w:p>
    <w:p w14:paraId="5A6137FB" w14:textId="77777777" w:rsidR="008F265F" w:rsidRDefault="00A542E4">
      <w:pPr>
        <w:spacing w:beforeLines="50" w:before="156"/>
        <w:ind w:firstLineChars="200" w:firstLine="420"/>
        <w:jc w:val="left"/>
        <w:rPr>
          <w:rFonts w:ascii="宋体" w:hAnsi="宋体"/>
        </w:rPr>
      </w:pPr>
      <w:r>
        <w:rPr>
          <w:rFonts w:ascii="宋体" w:hAnsi="宋体" w:hint="eastAsia"/>
        </w:rPr>
        <w:t>急性心肌梗死指由于冠状动脉闭塞或梗阻引起部分心肌严重的持久性缺血造成急性心肌坏死。急性心肌梗死的诊断必须依据国际国内诊断标准，符合：</w:t>
      </w:r>
    </w:p>
    <w:p w14:paraId="5EAD7159" w14:textId="77777777" w:rsidR="008F265F" w:rsidRDefault="00A542E4">
      <w:pPr>
        <w:ind w:firstLineChars="200" w:firstLine="420"/>
        <w:jc w:val="left"/>
        <w:rPr>
          <w:rFonts w:ascii="宋体" w:hAnsi="宋体"/>
        </w:rPr>
      </w:pPr>
      <w:r>
        <w:rPr>
          <w:rFonts w:ascii="宋体" w:hAnsi="宋体" w:hint="eastAsia"/>
        </w:rPr>
        <w:t>1</w:t>
      </w:r>
      <w:r>
        <w:rPr>
          <w:rFonts w:ascii="宋体" w:hAnsi="宋体"/>
        </w:rPr>
        <w:t>.</w:t>
      </w:r>
      <w:r>
        <w:rPr>
          <w:rFonts w:ascii="宋体" w:hAnsi="宋体" w:hint="eastAsia"/>
        </w:rPr>
        <w:t>检测到肌酸激酶同工酶（CK-MB）或肌钙蛋白（cTn）升高和/或降低的动态变化，至少一次达到或超过心肌梗死的临床诊断标准；</w:t>
      </w:r>
    </w:p>
    <w:p w14:paraId="3EE24304" w14:textId="77777777" w:rsidR="008F265F" w:rsidRDefault="00A542E4">
      <w:pPr>
        <w:ind w:firstLineChars="200" w:firstLine="420"/>
        <w:jc w:val="left"/>
        <w:rPr>
          <w:rFonts w:ascii="宋体" w:hAnsi="宋体"/>
        </w:rPr>
      </w:pPr>
      <w:r>
        <w:rPr>
          <w:rFonts w:ascii="宋体" w:hAnsi="宋体" w:hint="eastAsia"/>
        </w:rPr>
        <w:t>2</w:t>
      </w:r>
      <w:r>
        <w:rPr>
          <w:rFonts w:ascii="宋体" w:hAnsi="宋体"/>
        </w:rPr>
        <w:t>.</w:t>
      </w:r>
      <w:r>
        <w:rPr>
          <w:rFonts w:ascii="宋体" w:hAnsi="宋体" w:hint="eastAsia"/>
        </w:rPr>
        <w:t>同时存在下列之一的证据，包括：缺血性胸痛症状、新发生的缺血性心电图改变、新生成的病理性Q波、影像学证据显示有新出现的心肌活性丧失或新出现局部室壁运动异常、冠脉造影证实存在冠状动脉血栓。</w:t>
      </w:r>
    </w:p>
    <w:p w14:paraId="0931C893" w14:textId="77777777" w:rsidR="008F265F" w:rsidRDefault="00A542E4">
      <w:pPr>
        <w:spacing w:beforeLines="50" w:before="156"/>
        <w:ind w:firstLineChars="200" w:firstLine="420"/>
        <w:jc w:val="left"/>
        <w:rPr>
          <w:rFonts w:ascii="宋体" w:hAnsi="宋体"/>
        </w:rPr>
      </w:pPr>
      <w:r>
        <w:rPr>
          <w:rFonts w:ascii="宋体" w:hAnsi="宋体" w:hint="eastAsia"/>
        </w:rPr>
        <w:t>较轻急性心肌梗死指依照上述标准被明确诊断为急性心肌梗死，但未</w:t>
      </w:r>
      <w:r>
        <w:rPr>
          <w:rFonts w:ascii="宋体" w:hAnsi="宋体" w:hint="eastAsia"/>
        </w:rPr>
        <w:lastRenderedPageBreak/>
        <w:t>达到“较重急性心肌梗死”的给付标准。</w:t>
      </w:r>
    </w:p>
    <w:p w14:paraId="55E853E4"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其他非冠状动脉阻塞性疾病引起的肌钙蛋白（cTn）升高不在保障范围内。</w:t>
      </w:r>
    </w:p>
    <w:p w14:paraId="4CE73D46" w14:textId="77777777" w:rsidR="008F265F" w:rsidRDefault="00A542E4">
      <w:pPr>
        <w:pStyle w:val="30"/>
        <w:numPr>
          <w:ilvl w:val="0"/>
          <w:numId w:val="0"/>
        </w:numPr>
        <w:spacing w:beforeLines="50" w:before="156"/>
        <w:ind w:firstLineChars="200" w:firstLine="420"/>
        <w:rPr>
          <w:b w:val="0"/>
        </w:rPr>
      </w:pPr>
      <w:r w:rsidRPr="003B685F">
        <w:rPr>
          <w:rFonts w:hint="eastAsia"/>
          <w:b w:val="0"/>
          <w:bCs w:val="0"/>
          <w:shd w:val="pct15" w:color="auto" w:fill="FFFFFF"/>
        </w:rPr>
        <w:t>我们对“冠状动脉介入手术”、“较轻急性心肌梗死”和“激光心肌血运重建术”三项中的其中一项承担保险责任，给付其中一项保险金后，对另两项轻症疾病保险责任同时终止。</w:t>
      </w:r>
    </w:p>
    <w:p w14:paraId="5E269266" w14:textId="77777777" w:rsidR="008F265F" w:rsidRDefault="00A542E4">
      <w:pPr>
        <w:pStyle w:val="30"/>
        <w:numPr>
          <w:ilvl w:val="0"/>
          <w:numId w:val="2"/>
        </w:numPr>
        <w:tabs>
          <w:tab w:val="clear" w:pos="420"/>
          <w:tab w:val="clear" w:pos="562"/>
        </w:tabs>
        <w:spacing w:beforeLines="50" w:before="156"/>
        <w:ind w:left="851" w:hanging="425"/>
        <w:rPr>
          <w:b w:val="0"/>
        </w:rPr>
      </w:pPr>
      <w:r>
        <w:rPr>
          <w:rFonts w:hint="eastAsia"/>
          <w:b w:val="0"/>
        </w:rPr>
        <w:t>轻度脑中风后遗症</w:t>
      </w:r>
    </w:p>
    <w:p w14:paraId="08CB4972" w14:textId="77777777" w:rsidR="008F265F" w:rsidRDefault="00A542E4">
      <w:pPr>
        <w:spacing w:beforeLines="50" w:before="156"/>
        <w:ind w:firstLine="420"/>
        <w:jc w:val="left"/>
        <w:rPr>
          <w:rFonts w:ascii="宋体" w:hAnsi="宋体"/>
        </w:rPr>
      </w:pPr>
      <w:r>
        <w:rPr>
          <w:rFonts w:ascii="宋体" w:hAnsi="宋体" w:hint="eastAsia"/>
        </w:rPr>
        <w:t>指因脑血管的突发病变引起脑血管出血、栓塞或梗塞，须由头颅断层扫描（CT）、核磁共振检查（MRI）等影像学检查证实，并导致神经系统永久性的功能障碍，但未达到“严重脑中风后遗症”的给付标准，在疾病确诊180天后，仍遗留下列至少一种障碍：</w:t>
      </w:r>
    </w:p>
    <w:p w14:paraId="79CD4D96" w14:textId="77777777" w:rsidR="008F265F" w:rsidRDefault="00A542E4">
      <w:pPr>
        <w:ind w:firstLineChars="200" w:firstLine="420"/>
        <w:rPr>
          <w:rFonts w:ascii="宋体" w:hAnsi="宋体"/>
        </w:rPr>
      </w:pPr>
      <w:r>
        <w:rPr>
          <w:rFonts w:ascii="宋体" w:hAnsi="宋体" w:hint="eastAsia"/>
        </w:rPr>
        <w:t>1</w:t>
      </w:r>
      <w:r>
        <w:rPr>
          <w:rFonts w:ascii="宋体" w:hAnsi="宋体"/>
        </w:rPr>
        <w:t>.</w:t>
      </w:r>
      <w:r>
        <w:rPr>
          <w:rFonts w:ascii="宋体" w:hAnsi="宋体" w:hint="eastAsia"/>
        </w:rPr>
        <w:t>一肢（含）以上</w:t>
      </w:r>
      <w:r>
        <w:rPr>
          <w:rFonts w:ascii="宋体" w:hAnsi="宋体" w:hint="eastAsia"/>
          <w:b/>
          <w:color w:val="000000"/>
        </w:rPr>
        <w:t>肢体</w:t>
      </w:r>
      <w:r>
        <w:rPr>
          <w:rStyle w:val="af3"/>
          <w:rFonts w:ascii="宋体" w:hAnsi="宋体"/>
          <w:b/>
          <w:color w:val="000000"/>
        </w:rPr>
        <w:footnoteReference w:id="37"/>
      </w:r>
      <w:r>
        <w:rPr>
          <w:rFonts w:ascii="宋体" w:hAnsi="宋体" w:hint="eastAsia"/>
          <w:b/>
          <w:color w:val="000000"/>
        </w:rPr>
        <w:t>肌力</w:t>
      </w:r>
      <w:r>
        <w:rPr>
          <w:rStyle w:val="af3"/>
          <w:rFonts w:ascii="宋体" w:hAnsi="宋体"/>
          <w:b/>
          <w:color w:val="000000"/>
        </w:rPr>
        <w:footnoteReference w:id="38"/>
      </w:r>
      <w:r>
        <w:rPr>
          <w:rFonts w:ascii="宋体" w:hAnsi="宋体" w:hint="eastAsia"/>
        </w:rPr>
        <w:t>为3级；</w:t>
      </w:r>
    </w:p>
    <w:p w14:paraId="71CA5FFB" w14:textId="77777777" w:rsidR="008F265F" w:rsidRDefault="00A542E4">
      <w:pPr>
        <w:pStyle w:val="30"/>
        <w:numPr>
          <w:ilvl w:val="0"/>
          <w:numId w:val="0"/>
        </w:numPr>
        <w:spacing w:beforeLines="0" w:before="0"/>
        <w:ind w:leftChars="-1" w:left="-2" w:firstLineChars="203" w:firstLine="426"/>
        <w:rPr>
          <w:b w:val="0"/>
        </w:rPr>
      </w:pPr>
      <w:r>
        <w:rPr>
          <w:rFonts w:hint="eastAsia"/>
          <w:b w:val="0"/>
        </w:rPr>
        <w:t>2</w:t>
      </w:r>
      <w:r>
        <w:rPr>
          <w:b w:val="0"/>
        </w:rPr>
        <w:t>.</w:t>
      </w:r>
      <w:r>
        <w:rPr>
          <w:rFonts w:hint="eastAsia"/>
          <w:b w:val="0"/>
        </w:rPr>
        <w:t>自主生活能力部分丧失，无法独立完成</w:t>
      </w:r>
      <w:r>
        <w:rPr>
          <w:rFonts w:hint="eastAsia"/>
          <w:color w:val="000000"/>
        </w:rPr>
        <w:t>六项基本日常生活活动</w:t>
      </w:r>
      <w:r>
        <w:rPr>
          <w:color w:val="000000"/>
          <w:vertAlign w:val="superscript"/>
        </w:rPr>
        <w:footnoteReference w:id="39"/>
      </w:r>
      <w:r>
        <w:rPr>
          <w:rFonts w:hint="eastAsia"/>
          <w:b w:val="0"/>
        </w:rPr>
        <w:t>中的</w:t>
      </w:r>
      <w:r>
        <w:rPr>
          <w:rFonts w:hint="eastAsia"/>
          <w:b w:val="0"/>
        </w:rPr>
        <w:lastRenderedPageBreak/>
        <w:t>两项。</w:t>
      </w:r>
    </w:p>
    <w:p w14:paraId="1F9815F1" w14:textId="77777777" w:rsidR="008F265F" w:rsidRDefault="00A542E4">
      <w:pPr>
        <w:pStyle w:val="30"/>
        <w:numPr>
          <w:ilvl w:val="0"/>
          <w:numId w:val="2"/>
        </w:numPr>
        <w:tabs>
          <w:tab w:val="clear" w:pos="420"/>
          <w:tab w:val="clear" w:pos="562"/>
        </w:tabs>
        <w:spacing w:beforeLines="50" w:before="156"/>
        <w:ind w:leftChars="201" w:left="848" w:hangingChars="203" w:hanging="426"/>
        <w:rPr>
          <w:b w:val="0"/>
        </w:rPr>
      </w:pPr>
      <w:r>
        <w:rPr>
          <w:rFonts w:hint="eastAsia"/>
          <w:b w:val="0"/>
        </w:rPr>
        <w:t>激光心肌血运重建术</w:t>
      </w:r>
    </w:p>
    <w:p w14:paraId="288E7194" w14:textId="77777777" w:rsidR="008F265F" w:rsidRDefault="00A542E4">
      <w:pPr>
        <w:spacing w:beforeLines="50" w:before="156"/>
        <w:ind w:firstLineChars="200" w:firstLine="420"/>
        <w:jc w:val="left"/>
        <w:rPr>
          <w:rFonts w:ascii="宋体" w:hAnsi="宋体"/>
        </w:rPr>
      </w:pPr>
      <w:r>
        <w:rPr>
          <w:rFonts w:ascii="宋体" w:hAnsi="宋体" w:hint="eastAsia"/>
        </w:rPr>
        <w:t>指患有顽固性心绞痛，经持续药物治疗后无改善，冠状动脉搭桥手术及经皮血管成形手术已失败或者被认为不适合。在我们认可的医院内实际进行了开胸手术下或者胸腔镜下的激光心肌血运重建术。并且未达到本主险合同所指重大疾病“较重急性心肌梗死”的给付标准。</w:t>
      </w:r>
    </w:p>
    <w:p w14:paraId="7BA808FD" w14:textId="77777777" w:rsidR="008F265F" w:rsidRPr="00510F79" w:rsidRDefault="00A542E4">
      <w:pPr>
        <w:pStyle w:val="30"/>
        <w:numPr>
          <w:ilvl w:val="0"/>
          <w:numId w:val="0"/>
        </w:numPr>
        <w:spacing w:beforeLines="50" w:before="156"/>
        <w:ind w:firstLineChars="200" w:firstLine="420"/>
        <w:rPr>
          <w:b w:val="0"/>
          <w:shd w:val="pct15" w:color="auto" w:fill="FFFFFF"/>
        </w:rPr>
      </w:pPr>
      <w:r w:rsidRPr="003B685F">
        <w:rPr>
          <w:rFonts w:hint="eastAsia"/>
          <w:b w:val="0"/>
          <w:bCs w:val="0"/>
          <w:shd w:val="pct15" w:color="auto" w:fill="FFFFFF"/>
        </w:rPr>
        <w:t>我们对“冠状动脉介入手术”、“较轻急性心肌梗死”和“激光心肌血运重建术”三项中的其中一项承担保险责任，给付其中一项保险金后，对另两项轻症疾病保险责任同时终止。</w:t>
      </w:r>
    </w:p>
    <w:p w14:paraId="786DC406" w14:textId="77777777" w:rsidR="008F265F" w:rsidRDefault="00A542E4">
      <w:pPr>
        <w:pStyle w:val="30"/>
        <w:numPr>
          <w:ilvl w:val="0"/>
          <w:numId w:val="2"/>
        </w:numPr>
        <w:tabs>
          <w:tab w:val="clear" w:pos="420"/>
          <w:tab w:val="clear" w:pos="562"/>
        </w:tabs>
        <w:spacing w:beforeLines="50" w:before="156"/>
        <w:rPr>
          <w:b w:val="0"/>
          <w:bCs w:val="0"/>
        </w:rPr>
      </w:pPr>
      <w:r>
        <w:rPr>
          <w:rFonts w:hint="eastAsia"/>
          <w:b w:val="0"/>
        </w:rPr>
        <w:t>急性重症肝炎人工肝治疗</w:t>
      </w:r>
    </w:p>
    <w:p w14:paraId="511E0B25" w14:textId="034F0C26" w:rsidR="008F265F" w:rsidRDefault="00A542E4">
      <w:pPr>
        <w:pStyle w:val="30"/>
        <w:numPr>
          <w:ilvl w:val="0"/>
          <w:numId w:val="0"/>
        </w:numPr>
        <w:spacing w:beforeLines="50" w:before="156"/>
        <w:ind w:firstLineChars="200" w:firstLine="420"/>
        <w:rPr>
          <w:b w:val="0"/>
          <w:bCs w:val="0"/>
        </w:rPr>
      </w:pPr>
      <w:r>
        <w:rPr>
          <w:rFonts w:hint="eastAsia"/>
          <w:b w:val="0"/>
          <w:bCs w:val="0"/>
        </w:rPr>
        <w:t>被保险人被明确诊断为急性重症肝炎，并且实际实施了人工肝支持系统 （ALSS）治疗，但未达到本</w:t>
      </w:r>
      <w:r w:rsidR="00D45481">
        <w:rPr>
          <w:rFonts w:hint="eastAsia"/>
          <w:b w:val="0"/>
          <w:bCs w:val="0"/>
        </w:rPr>
        <w:t>主险</w:t>
      </w:r>
      <w:r>
        <w:rPr>
          <w:rFonts w:hint="eastAsia"/>
          <w:b w:val="0"/>
          <w:bCs w:val="0"/>
        </w:rPr>
        <w:t>合同所指重大疾病“急性重症肝炎或亚急性重症肝炎”的给付标准。 ALSS又称体外肝脏支持装置，指借助体外机械、化学或生物性装置暂时部分替代肝脏功能，协助治疗肝脏功能不全或相关疾病的治疗方法。</w:t>
      </w:r>
    </w:p>
    <w:p w14:paraId="089E61D0"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因急性重症肝炎之外的疾病进行</w:t>
      </w:r>
      <w:r w:rsidRPr="003B685F">
        <w:rPr>
          <w:b w:val="0"/>
          <w:bCs w:val="0"/>
          <w:shd w:val="pct15" w:color="auto" w:fill="FFFFFF"/>
        </w:rPr>
        <w:t>ALSS治疗不在保障范围内。</w:t>
      </w:r>
    </w:p>
    <w:p w14:paraId="3F1B1419" w14:textId="77777777" w:rsidR="008F265F" w:rsidRDefault="00A542E4">
      <w:pPr>
        <w:pStyle w:val="30"/>
        <w:numPr>
          <w:ilvl w:val="0"/>
          <w:numId w:val="2"/>
        </w:numPr>
        <w:tabs>
          <w:tab w:val="clear" w:pos="420"/>
          <w:tab w:val="clear" w:pos="562"/>
        </w:tabs>
        <w:spacing w:beforeLines="50" w:before="156"/>
        <w:ind w:leftChars="201" w:left="848" w:hangingChars="203" w:hanging="426"/>
        <w:rPr>
          <w:b w:val="0"/>
        </w:rPr>
      </w:pPr>
      <w:r>
        <w:rPr>
          <w:rFonts w:hint="eastAsia"/>
          <w:b w:val="0"/>
        </w:rPr>
        <w:lastRenderedPageBreak/>
        <w:t>病毒性肝炎导致的肝硬化</w:t>
      </w:r>
    </w:p>
    <w:p w14:paraId="0CDECB04" w14:textId="77777777" w:rsidR="008F265F" w:rsidRDefault="00A542E4">
      <w:pPr>
        <w:spacing w:beforeLines="50" w:before="156"/>
        <w:ind w:firstLineChars="200" w:firstLine="420"/>
        <w:jc w:val="left"/>
        <w:rPr>
          <w:rFonts w:ascii="宋体" w:hAnsi="宋体"/>
        </w:rPr>
      </w:pPr>
      <w:r>
        <w:rPr>
          <w:rFonts w:ascii="宋体" w:hAnsi="宋体" w:hint="eastAsia"/>
        </w:rPr>
        <w:t>因肝炎病毒感染的肝脏慢性炎症并发展为肝硬化。且未达到本主险合同所指重大疾病“严重慢性肝衰竭”的给付标准。理赔时须满足下列全部条件：</w:t>
      </w:r>
    </w:p>
    <w:p w14:paraId="5A1F1A50" w14:textId="77777777" w:rsidR="008F265F" w:rsidRDefault="00A542E4">
      <w:pPr>
        <w:ind w:firstLineChars="200" w:firstLine="420"/>
        <w:rPr>
          <w:rFonts w:ascii="宋体" w:hAnsi="宋体"/>
        </w:rPr>
      </w:pPr>
      <w:r>
        <w:rPr>
          <w:rFonts w:ascii="宋体" w:hAnsi="宋体" w:hint="eastAsia"/>
        </w:rPr>
        <w:t>1</w:t>
      </w:r>
      <w:r>
        <w:rPr>
          <w:rFonts w:ascii="宋体" w:hAnsi="宋体"/>
        </w:rPr>
        <w:t>.</w:t>
      </w:r>
      <w:r>
        <w:rPr>
          <w:rFonts w:ascii="宋体" w:hAnsi="宋体" w:hint="eastAsia"/>
        </w:rPr>
        <w:t>被保险人有感染慢性肝炎病毒的血清学及实验室检查报告等临床证据；</w:t>
      </w:r>
    </w:p>
    <w:p w14:paraId="7641624D" w14:textId="77777777" w:rsidR="008F265F" w:rsidRDefault="00A542E4">
      <w:pPr>
        <w:ind w:firstLineChars="200" w:firstLine="420"/>
        <w:jc w:val="left"/>
        <w:rPr>
          <w:rFonts w:ascii="宋体" w:hAnsi="宋体"/>
        </w:rPr>
      </w:pPr>
      <w:r>
        <w:rPr>
          <w:rFonts w:ascii="宋体" w:hAnsi="宋体" w:hint="eastAsia"/>
        </w:rPr>
        <w:t>2</w:t>
      </w:r>
      <w:r>
        <w:rPr>
          <w:rFonts w:ascii="宋体" w:hAnsi="宋体"/>
        </w:rPr>
        <w:t>.</w:t>
      </w:r>
      <w:r>
        <w:rPr>
          <w:rFonts w:ascii="宋体" w:hAnsi="宋体" w:hint="eastAsia"/>
        </w:rPr>
        <w:t>必须由我们认可的医院的消化科专科医生基于肝脏组织病理学检查报告、临床表现及病史对肝炎病毒感染导致肝硬化作出明确诊断；</w:t>
      </w:r>
    </w:p>
    <w:p w14:paraId="45650BC0" w14:textId="77777777" w:rsidR="008F265F" w:rsidRDefault="00A542E4">
      <w:pPr>
        <w:ind w:firstLineChars="200" w:firstLine="420"/>
        <w:jc w:val="left"/>
        <w:rPr>
          <w:rFonts w:ascii="宋体" w:hAnsi="宋体"/>
        </w:rPr>
      </w:pPr>
      <w:r>
        <w:rPr>
          <w:rFonts w:ascii="宋体" w:hAnsi="宋体" w:hint="eastAsia"/>
        </w:rPr>
        <w:t>3</w:t>
      </w:r>
      <w:r>
        <w:rPr>
          <w:rFonts w:ascii="宋体" w:hAnsi="宋体"/>
        </w:rPr>
        <w:t>.</w:t>
      </w:r>
      <w:r>
        <w:rPr>
          <w:rFonts w:ascii="宋体" w:hAnsi="宋体" w:hint="eastAsia"/>
        </w:rPr>
        <w:t>病理学检查报告证明肝脏病变按Metavir分级表中属F4阶段或Knodell肝纤维化标准达到4分。</w:t>
      </w:r>
    </w:p>
    <w:p w14:paraId="50808E41" w14:textId="77777777" w:rsidR="008F265F" w:rsidRPr="003B685F" w:rsidRDefault="00A542E4">
      <w:pPr>
        <w:spacing w:beforeLines="50" w:before="156"/>
        <w:ind w:firstLineChars="200" w:firstLine="420"/>
        <w:jc w:val="left"/>
        <w:rPr>
          <w:rFonts w:ascii="宋体" w:hAnsi="宋体"/>
          <w:shd w:val="pct15" w:color="auto" w:fill="FFFFFF"/>
        </w:rPr>
      </w:pPr>
      <w:r w:rsidRPr="003B685F">
        <w:rPr>
          <w:rFonts w:ascii="宋体" w:hAnsi="宋体" w:hint="eastAsia"/>
          <w:shd w:val="pct15" w:color="auto" w:fill="FFFFFF"/>
        </w:rPr>
        <w:t>由酒精或药物滥用而引起的本疾病不在保障范围内。</w:t>
      </w:r>
    </w:p>
    <w:p w14:paraId="6EDE34B8"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我们对“病毒性肝炎导致的肝硬化”、“慢性肝功能衰竭”、“早期肝硬化”和“慢性肝衰竭代偿早期”四项中的其中一项承担保险责任，给付其中一项保险金后，对另三项轻症疾病保险责任同时终止。</w:t>
      </w:r>
    </w:p>
    <w:p w14:paraId="5D996044" w14:textId="77777777" w:rsidR="008F265F" w:rsidRDefault="00A542E4">
      <w:pPr>
        <w:pStyle w:val="30"/>
        <w:numPr>
          <w:ilvl w:val="0"/>
          <w:numId w:val="2"/>
        </w:numPr>
        <w:tabs>
          <w:tab w:val="clear" w:pos="420"/>
          <w:tab w:val="clear" w:pos="562"/>
        </w:tabs>
        <w:spacing w:beforeLines="50" w:before="156"/>
        <w:rPr>
          <w:b w:val="0"/>
        </w:rPr>
      </w:pPr>
      <w:r>
        <w:rPr>
          <w:rFonts w:hint="eastAsia"/>
          <w:b w:val="0"/>
        </w:rPr>
        <w:t>脑垂体瘤、脑囊肿、脑动脉瘤及脑血管瘤</w:t>
      </w:r>
    </w:p>
    <w:p w14:paraId="08CAFF54" w14:textId="77777777" w:rsidR="00D45481" w:rsidRPr="00CF58C2" w:rsidRDefault="00D45481" w:rsidP="00D45481">
      <w:pPr>
        <w:spacing w:beforeLines="50" w:before="156"/>
        <w:ind w:firstLineChars="200" w:firstLine="420"/>
        <w:jc w:val="left"/>
        <w:rPr>
          <w:rFonts w:ascii="宋体" w:hAnsi="宋体"/>
        </w:rPr>
      </w:pPr>
      <w:r w:rsidRPr="00CF58C2">
        <w:rPr>
          <w:rFonts w:ascii="宋体" w:hAnsi="宋体" w:hint="eastAsia"/>
        </w:rPr>
        <w:t>指经头颅断层扫描（CT）、核磁共振检查（MRI）或者其他影像学检查被确诊为下列病变，并实际接受了手术或者放射治疗，且未达到本主险合同重大疾病“颅脑手术”的给付标准。</w:t>
      </w:r>
    </w:p>
    <w:p w14:paraId="6EB1F767" w14:textId="77777777" w:rsidR="00D45481" w:rsidRPr="00CF58C2" w:rsidRDefault="00D45481" w:rsidP="00D45481">
      <w:pPr>
        <w:ind w:firstLineChars="200" w:firstLine="420"/>
        <w:rPr>
          <w:rFonts w:ascii="宋体" w:hAnsi="宋体"/>
        </w:rPr>
      </w:pPr>
      <w:r w:rsidRPr="00CF58C2">
        <w:rPr>
          <w:rFonts w:ascii="宋体" w:hAnsi="宋体" w:hint="eastAsia"/>
        </w:rPr>
        <w:t>1</w:t>
      </w:r>
      <w:r w:rsidRPr="00CF58C2">
        <w:rPr>
          <w:rFonts w:ascii="宋体" w:hAnsi="宋体"/>
        </w:rPr>
        <w:t>.</w:t>
      </w:r>
      <w:r w:rsidRPr="00CF58C2">
        <w:rPr>
          <w:rFonts w:ascii="宋体" w:hAnsi="宋体" w:hint="eastAsia"/>
        </w:rPr>
        <w:t>脑垂体瘤；</w:t>
      </w:r>
    </w:p>
    <w:p w14:paraId="16A63B88" w14:textId="43FD0027" w:rsidR="00D45481" w:rsidRPr="00CF58C2" w:rsidRDefault="00D45481" w:rsidP="00D45481">
      <w:pPr>
        <w:ind w:firstLineChars="200" w:firstLine="420"/>
        <w:jc w:val="left"/>
        <w:rPr>
          <w:rFonts w:ascii="宋体" w:hAnsi="宋体"/>
        </w:rPr>
      </w:pPr>
      <w:r w:rsidRPr="00CF58C2">
        <w:rPr>
          <w:rFonts w:ascii="宋体" w:hAnsi="宋体" w:hint="eastAsia"/>
        </w:rPr>
        <w:t>2</w:t>
      </w:r>
      <w:r w:rsidRPr="00CF58C2">
        <w:rPr>
          <w:rFonts w:ascii="宋体" w:hAnsi="宋体"/>
        </w:rPr>
        <w:t>.</w:t>
      </w:r>
      <w:r w:rsidRPr="00CF58C2">
        <w:rPr>
          <w:rFonts w:ascii="宋体" w:hAnsi="宋体" w:hint="eastAsia"/>
        </w:rPr>
        <w:t>脑囊肿；</w:t>
      </w:r>
    </w:p>
    <w:p w14:paraId="09877C73" w14:textId="14AE2D85" w:rsidR="008F265F" w:rsidRPr="003B685F" w:rsidRDefault="00D45481" w:rsidP="00D45481">
      <w:pPr>
        <w:ind w:firstLineChars="200" w:firstLine="420"/>
        <w:jc w:val="left"/>
        <w:rPr>
          <w:rFonts w:ascii="宋体" w:hAnsi="宋体"/>
          <w:color w:val="000000"/>
          <w:shd w:val="pct15" w:color="auto" w:fill="FFFFFF"/>
        </w:rPr>
      </w:pPr>
      <w:r w:rsidRPr="00CF58C2">
        <w:rPr>
          <w:rFonts w:ascii="宋体" w:hAnsi="宋体" w:hint="eastAsia"/>
        </w:rPr>
        <w:t>3</w:t>
      </w:r>
      <w:r w:rsidRPr="00CF58C2">
        <w:rPr>
          <w:rFonts w:ascii="宋体" w:hAnsi="宋体"/>
        </w:rPr>
        <w:t>.</w:t>
      </w:r>
      <w:r w:rsidRPr="00CF58C2">
        <w:rPr>
          <w:rFonts w:ascii="宋体" w:hAnsi="宋体" w:hint="eastAsia"/>
        </w:rPr>
        <w:t>脑动脉瘤、脑血管瘤。</w:t>
      </w:r>
    </w:p>
    <w:p w14:paraId="2DBDECCB"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lastRenderedPageBreak/>
        <w:t>我们对“微创颅脑手术”、“脑垂体瘤、脑囊肿、脑动脉瘤及脑血管瘤”和“植入大脑内分流器”三项中的其中一项承担保险责任，给付其中一项保险金后，对另两项轻症疾病保险责任同时终止。</w:t>
      </w:r>
    </w:p>
    <w:p w14:paraId="6A31F73E" w14:textId="77777777" w:rsidR="008F265F" w:rsidRDefault="00A542E4">
      <w:pPr>
        <w:pStyle w:val="30"/>
        <w:numPr>
          <w:ilvl w:val="0"/>
          <w:numId w:val="2"/>
        </w:numPr>
        <w:tabs>
          <w:tab w:val="clear" w:pos="420"/>
          <w:tab w:val="clear" w:pos="562"/>
        </w:tabs>
        <w:spacing w:beforeLines="50" w:before="156"/>
        <w:ind w:leftChars="201" w:left="848" w:hangingChars="203" w:hanging="426"/>
        <w:rPr>
          <w:b w:val="0"/>
        </w:rPr>
      </w:pPr>
      <w:r>
        <w:rPr>
          <w:rFonts w:hint="eastAsia"/>
          <w:b w:val="0"/>
        </w:rPr>
        <w:t>角膜移植术</w:t>
      </w:r>
    </w:p>
    <w:p w14:paraId="19E6FB03" w14:textId="77777777" w:rsidR="008F265F" w:rsidRDefault="00A542E4">
      <w:pPr>
        <w:spacing w:beforeLines="50" w:before="156"/>
        <w:ind w:firstLineChars="200" w:firstLine="420"/>
        <w:jc w:val="left"/>
        <w:rPr>
          <w:rFonts w:ascii="宋体" w:hAnsi="宋体"/>
        </w:rPr>
      </w:pPr>
      <w:r>
        <w:rPr>
          <w:rFonts w:ascii="宋体" w:hAnsi="宋体" w:hint="eastAsia"/>
        </w:rPr>
        <w:t>指为增进视力或治疗某些角膜疾患，实际实施了角膜的异体移植手术。手术必须在我们认可的医院的专科医生认为是医疗必须的情况下进行。</w:t>
      </w:r>
    </w:p>
    <w:p w14:paraId="4D3874BC"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我们对“视力严重受损——三周岁后始理赔”、“单目失明——三周岁后始理赔”、“角膜移植术”和“糖尿病视网膜增生性病变”四项中的其中一项承担保险责任，给付其中一项保险金后，对另三项轻症疾病保险责任同时终止。</w:t>
      </w:r>
    </w:p>
    <w:p w14:paraId="09E3378D" w14:textId="77777777" w:rsidR="008F265F" w:rsidRDefault="00A542E4">
      <w:pPr>
        <w:pStyle w:val="30"/>
        <w:numPr>
          <w:ilvl w:val="0"/>
          <w:numId w:val="2"/>
        </w:numPr>
        <w:tabs>
          <w:tab w:val="clear" w:pos="420"/>
          <w:tab w:val="clear" w:pos="562"/>
        </w:tabs>
        <w:spacing w:beforeLines="50" w:before="156"/>
        <w:ind w:leftChars="201" w:left="848" w:hangingChars="203" w:hanging="426"/>
        <w:rPr>
          <w:b w:val="0"/>
        </w:rPr>
      </w:pPr>
      <w:r>
        <w:rPr>
          <w:rFonts w:hint="eastAsia"/>
          <w:b w:val="0"/>
        </w:rPr>
        <w:t>单目失明——</w:t>
      </w:r>
      <w:r w:rsidRPr="003B685F">
        <w:rPr>
          <w:rFonts w:hint="eastAsia"/>
          <w:b w:val="0"/>
          <w:bCs w:val="0"/>
          <w:shd w:val="pct15" w:color="auto" w:fill="FFFFFF"/>
        </w:rPr>
        <w:t>三周岁后始理赔</w:t>
      </w:r>
    </w:p>
    <w:p w14:paraId="6CD6DB3C" w14:textId="77777777" w:rsidR="008F265F" w:rsidRDefault="00A542E4">
      <w:pPr>
        <w:spacing w:beforeLines="50" w:before="156"/>
        <w:ind w:firstLineChars="200" w:firstLine="420"/>
        <w:jc w:val="left"/>
        <w:rPr>
          <w:rFonts w:ascii="宋体" w:eastAsiaTheme="minorEastAsia" w:hAnsi="宋体"/>
        </w:rPr>
      </w:pPr>
      <w:r>
        <w:rPr>
          <w:rFonts w:ascii="宋体" w:hAnsi="宋体" w:hint="eastAsia"/>
        </w:rPr>
        <w:t>指因疾病或意外伤害导致单眼视力</w:t>
      </w:r>
      <w:r>
        <w:rPr>
          <w:rFonts w:ascii="宋体" w:hAnsi="宋体" w:hint="eastAsia"/>
          <w:b/>
        </w:rPr>
        <w:t>永久不可逆</w:t>
      </w:r>
      <w:r>
        <w:rPr>
          <w:rStyle w:val="af3"/>
          <w:rFonts w:ascii="宋体" w:hAnsi="宋体"/>
          <w:b/>
        </w:rPr>
        <w:footnoteReference w:id="40"/>
      </w:r>
      <w:r>
        <w:rPr>
          <w:rFonts w:ascii="宋体" w:hAnsi="宋体" w:hint="eastAsia"/>
        </w:rPr>
        <w:t>性丧失，但未达到本主险合同所指重大疾病“双目失明”的给付标准，但患眼须满足下列至少一项条件：</w:t>
      </w:r>
    </w:p>
    <w:p w14:paraId="2DBD7A95" w14:textId="77777777" w:rsidR="008F265F" w:rsidRDefault="00A542E4">
      <w:pPr>
        <w:ind w:firstLineChars="200" w:firstLine="420"/>
        <w:rPr>
          <w:rFonts w:ascii="宋体" w:eastAsiaTheme="minorEastAsia" w:hAnsi="宋体"/>
        </w:rPr>
      </w:pPr>
      <w:r>
        <w:rPr>
          <w:rFonts w:ascii="宋体" w:hAnsi="宋体" w:hint="eastAsia"/>
        </w:rPr>
        <w:t>1</w:t>
      </w:r>
      <w:r>
        <w:rPr>
          <w:rFonts w:ascii="宋体" w:hAnsi="宋体"/>
        </w:rPr>
        <w:t>.</w:t>
      </w:r>
      <w:r>
        <w:rPr>
          <w:rFonts w:ascii="宋体" w:hAnsi="宋体" w:hint="eastAsia"/>
        </w:rPr>
        <w:t>眼球缺失或摘除；</w:t>
      </w:r>
      <w:r>
        <w:rPr>
          <w:rFonts w:ascii="宋体" w:eastAsiaTheme="minorEastAsia" w:hAnsi="宋体"/>
        </w:rPr>
        <w:br/>
      </w:r>
      <w:r>
        <w:rPr>
          <w:rFonts w:ascii="宋体" w:hAnsi="宋体" w:hint="eastAsia"/>
        </w:rPr>
        <w:t xml:space="preserve"> </w:t>
      </w:r>
      <w:r>
        <w:rPr>
          <w:rFonts w:ascii="宋体" w:hAnsi="宋体"/>
        </w:rPr>
        <w:t xml:space="preserve">   </w:t>
      </w:r>
      <w:r>
        <w:rPr>
          <w:rFonts w:ascii="宋体" w:hAnsi="宋体" w:hint="eastAsia"/>
        </w:rPr>
        <w:t>2</w:t>
      </w:r>
      <w:r>
        <w:rPr>
          <w:rFonts w:ascii="宋体" w:hAnsi="宋体"/>
        </w:rPr>
        <w:t>.</w:t>
      </w:r>
      <w:r>
        <w:rPr>
          <w:rFonts w:ascii="宋体" w:hAnsi="宋体" w:hint="eastAsia"/>
        </w:rPr>
        <w:t>矫正视力低于0.02（采用国际标准视力表，如果使用其他视力表应进行换算）；</w:t>
      </w:r>
      <w:r>
        <w:rPr>
          <w:rFonts w:ascii="宋体" w:hAnsi="宋体"/>
        </w:rPr>
        <w:br/>
        <w:t xml:space="preserve">    </w:t>
      </w:r>
      <w:r>
        <w:rPr>
          <w:rFonts w:ascii="宋体" w:hAnsi="宋体" w:hint="eastAsia"/>
        </w:rPr>
        <w:t>3</w:t>
      </w:r>
      <w:r>
        <w:rPr>
          <w:rFonts w:ascii="宋体" w:hAnsi="宋体"/>
        </w:rPr>
        <w:t>.</w:t>
      </w:r>
      <w:r>
        <w:rPr>
          <w:rFonts w:ascii="宋体" w:hAnsi="宋体" w:hint="eastAsia"/>
        </w:rPr>
        <w:t>视野半径小于5度。</w:t>
      </w:r>
    </w:p>
    <w:p w14:paraId="59146152" w14:textId="77777777" w:rsidR="008F265F" w:rsidRDefault="00A542E4">
      <w:pPr>
        <w:spacing w:beforeLines="50" w:before="156"/>
        <w:ind w:firstLineChars="200" w:firstLine="420"/>
        <w:jc w:val="left"/>
        <w:rPr>
          <w:rFonts w:ascii="宋体" w:hAnsi="宋体"/>
        </w:rPr>
      </w:pPr>
      <w:r>
        <w:rPr>
          <w:rFonts w:ascii="宋体" w:hAnsi="宋体" w:hint="eastAsia"/>
        </w:rPr>
        <w:lastRenderedPageBreak/>
        <w:t>诊断须在我们认可的医院内由眼科专科医生确认，并且提供理赔当时的视力丧失诊断及检查证据。</w:t>
      </w:r>
    </w:p>
    <w:p w14:paraId="7DE673A8"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被保险人申请理赔时年龄必须在三周岁以上，并且提供视力丧失诊断及检查证据。</w:t>
      </w:r>
    </w:p>
    <w:p w14:paraId="0CEFF151"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我们对“视力严重受损——三周岁后始理赔”、“单目失明——三周岁后始理赔”、“角膜移植术”和“糖尿病视网膜增生性病变”四项中的其中一项承担保险责任，给付其中一项保险金后，对另三项轻症疾病保险责任同时终止。</w:t>
      </w:r>
    </w:p>
    <w:p w14:paraId="6C095883" w14:textId="77777777" w:rsidR="008F265F" w:rsidRDefault="00A542E4">
      <w:pPr>
        <w:pStyle w:val="30"/>
        <w:numPr>
          <w:ilvl w:val="0"/>
          <w:numId w:val="2"/>
        </w:numPr>
        <w:tabs>
          <w:tab w:val="clear" w:pos="420"/>
          <w:tab w:val="clear" w:pos="562"/>
        </w:tabs>
        <w:spacing w:beforeLines="50" w:before="156"/>
        <w:rPr>
          <w:b w:val="0"/>
        </w:rPr>
      </w:pPr>
      <w:r>
        <w:rPr>
          <w:rFonts w:hint="eastAsia"/>
          <w:b w:val="0"/>
        </w:rPr>
        <w:t>心脏起搏器植入术</w:t>
      </w:r>
    </w:p>
    <w:p w14:paraId="3D957A3F" w14:textId="77777777" w:rsidR="008F265F" w:rsidRDefault="00A542E4">
      <w:pPr>
        <w:pStyle w:val="30"/>
        <w:numPr>
          <w:ilvl w:val="0"/>
          <w:numId w:val="0"/>
        </w:numPr>
        <w:spacing w:beforeLines="50" w:before="156"/>
        <w:ind w:left="4" w:firstLineChars="200" w:firstLine="420"/>
        <w:rPr>
          <w:b w:val="0"/>
        </w:rPr>
      </w:pPr>
      <w:r>
        <w:rPr>
          <w:rFonts w:hint="eastAsia"/>
          <w:b w:val="0"/>
        </w:rPr>
        <w:t>指为治疗严重心律失常实际实施了永久性心脏起搏器的植入手术。理赔时须提供完整病历资料及手术记录，诊断及治疗均须在我们认可的医院的专科医生认为是医疗必须的情况下进行。并且未达到本主险合同所指重大疾病“严重Ⅲ度房室传导阻滞”的给付标准。</w:t>
      </w:r>
    </w:p>
    <w:p w14:paraId="2A7FA904" w14:textId="77777777" w:rsidR="008F265F" w:rsidRPr="003B685F" w:rsidRDefault="00A542E4">
      <w:pPr>
        <w:pStyle w:val="30"/>
        <w:numPr>
          <w:ilvl w:val="0"/>
          <w:numId w:val="0"/>
        </w:numPr>
        <w:spacing w:beforeLines="50" w:before="156"/>
        <w:ind w:left="4" w:firstLineChars="200" w:firstLine="420"/>
        <w:rPr>
          <w:b w:val="0"/>
          <w:shd w:val="pct15" w:color="auto" w:fill="FFFFFF"/>
        </w:rPr>
      </w:pPr>
      <w:r w:rsidRPr="003B685F">
        <w:rPr>
          <w:rFonts w:asciiTheme="minorEastAsia" w:eastAsiaTheme="minorEastAsia" w:hAnsiTheme="minorEastAsia"/>
          <w:b w:val="0"/>
          <w:shd w:val="pct15" w:color="auto" w:fill="FFFFFF"/>
        </w:rPr>
        <w:t>安装临时心脏起搏器不在保障范围内。</w:t>
      </w:r>
    </w:p>
    <w:p w14:paraId="7E83C807"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轻度面部</w:t>
      </w:r>
      <w:r>
        <w:rPr>
          <w:rStyle w:val="af3"/>
        </w:rPr>
        <w:footnoteReference w:id="41"/>
      </w:r>
      <w:r>
        <w:rPr>
          <w:rFonts w:hint="eastAsia"/>
          <w:b w:val="0"/>
        </w:rPr>
        <w:t>烧伤</w:t>
      </w:r>
    </w:p>
    <w:p w14:paraId="5F4DFC8F" w14:textId="77777777" w:rsidR="008F265F" w:rsidRDefault="00A542E4">
      <w:pPr>
        <w:pStyle w:val="30"/>
        <w:numPr>
          <w:ilvl w:val="0"/>
          <w:numId w:val="0"/>
        </w:numPr>
        <w:spacing w:beforeLines="50" w:before="156"/>
        <w:ind w:left="4" w:firstLineChars="200" w:firstLine="420"/>
        <w:rPr>
          <w:b w:val="0"/>
        </w:rPr>
      </w:pPr>
      <w:r>
        <w:rPr>
          <w:rFonts w:hint="eastAsia"/>
          <w:b w:val="0"/>
        </w:rPr>
        <w:t>指面部烧伤程度为Ⅲ度，且Ⅲ度烧伤的面积达到面部表面积的30％或者30％以上，但未达到面部表面积的60%。</w:t>
      </w:r>
    </w:p>
    <w:p w14:paraId="4DDEF0EF"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若被保险人因同一原因导致其同时满足“全身较小面积Ⅲ度烧伤”、“轻</w:t>
      </w:r>
      <w:r w:rsidRPr="003B685F">
        <w:rPr>
          <w:rFonts w:hint="eastAsia"/>
          <w:b w:val="0"/>
          <w:bCs w:val="0"/>
          <w:shd w:val="pct15" w:color="auto" w:fill="FFFFFF"/>
        </w:rPr>
        <w:lastRenderedPageBreak/>
        <w:t>度面部烧伤”的，仅按其中一项给付。</w:t>
      </w:r>
    </w:p>
    <w:p w14:paraId="7CCDEBBE"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面部重建手术</w:t>
      </w:r>
    </w:p>
    <w:p w14:paraId="02D9DFF3" w14:textId="77777777" w:rsidR="008F265F" w:rsidRDefault="00A542E4">
      <w:pPr>
        <w:pStyle w:val="30"/>
        <w:numPr>
          <w:ilvl w:val="0"/>
          <w:numId w:val="0"/>
        </w:numPr>
        <w:spacing w:beforeLines="50" w:before="156"/>
        <w:ind w:left="4" w:firstLineChars="200" w:firstLine="420"/>
        <w:rPr>
          <w:b w:val="0"/>
        </w:rPr>
      </w:pPr>
      <w:r>
        <w:rPr>
          <w:rFonts w:hint="eastAsia"/>
          <w:b w:val="0"/>
        </w:rPr>
        <w:t>因疾病或意外伤害导致面部毁容，确实进行整形或者重建手术（颈部以上的面部构造不完整、缺失或者受损而对其形态及外观进行修复或者重建），同时必须由专科医生认为该面部毁容是需要接受住院治疗，及其后接受该手术，而对该面部毁容所进行的治疗亦是医疗所需。</w:t>
      </w:r>
    </w:p>
    <w:p w14:paraId="7B710D91" w14:textId="77777777" w:rsidR="008F265F" w:rsidRPr="003B685F" w:rsidRDefault="00A542E4">
      <w:pPr>
        <w:pStyle w:val="30"/>
        <w:numPr>
          <w:ilvl w:val="0"/>
          <w:numId w:val="0"/>
        </w:numPr>
        <w:adjustRightInd w:val="0"/>
        <w:snapToGrid w:val="0"/>
        <w:spacing w:beforeLines="50" w:before="156"/>
        <w:ind w:firstLineChars="200" w:firstLine="420"/>
        <w:rPr>
          <w:b w:val="0"/>
          <w:bCs w:val="0"/>
          <w:shd w:val="pct15" w:color="auto" w:fill="FFFFFF"/>
        </w:rPr>
      </w:pPr>
      <w:r w:rsidRPr="003B685F">
        <w:rPr>
          <w:rFonts w:hint="eastAsia"/>
          <w:b w:val="0"/>
          <w:bCs w:val="0"/>
          <w:shd w:val="pct15" w:color="auto" w:fill="FFFFFF"/>
        </w:rPr>
        <w:t>因纯粹整容原因、独立的牙齿修复、独立的鼻骨骨折或者独立的皮肤伤口所进行的手术均</w:t>
      </w:r>
      <w:r w:rsidRPr="003B685F">
        <w:rPr>
          <w:rFonts w:ascii="Times New Roman" w:eastAsiaTheme="minorEastAsia" w:hAnsi="Times New Roman" w:cs="Malgun Gothic" w:hint="eastAsia"/>
          <w:b w:val="0"/>
          <w:bCs w:val="0"/>
          <w:shd w:val="pct15" w:color="auto" w:fill="FFFFFF"/>
        </w:rPr>
        <w:t>不</w:t>
      </w:r>
      <w:r w:rsidRPr="003B685F">
        <w:rPr>
          <w:rFonts w:hint="eastAsia"/>
          <w:b w:val="0"/>
          <w:bCs w:val="0"/>
          <w:shd w:val="pct15" w:color="auto" w:fill="FFFFFF"/>
        </w:rPr>
        <w:t>受此保障。</w:t>
      </w:r>
    </w:p>
    <w:p w14:paraId="3B227EE5"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被保险人达到条款约定的“轻度面部烧伤”轻症赔付责任，且因此需行“面部重建手术”，则不在此保障范围内。</w:t>
      </w:r>
    </w:p>
    <w:p w14:paraId="356AF47A"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微创颅脑手术</w:t>
      </w:r>
    </w:p>
    <w:p w14:paraId="6331CBA1" w14:textId="77777777" w:rsidR="008F265F" w:rsidRDefault="00A542E4">
      <w:pPr>
        <w:pStyle w:val="30"/>
        <w:numPr>
          <w:ilvl w:val="0"/>
          <w:numId w:val="0"/>
        </w:numPr>
        <w:spacing w:beforeLines="50" w:before="156"/>
        <w:ind w:left="4" w:firstLineChars="200" w:firstLine="420"/>
        <w:rPr>
          <w:b w:val="0"/>
        </w:rPr>
      </w:pPr>
      <w:r>
        <w:rPr>
          <w:rFonts w:hint="eastAsia"/>
          <w:b w:val="0"/>
        </w:rPr>
        <w:t>被保险人因疾病实际实施了全麻下的颅骨钻孔手术或经鼻蝶窦入颅手术。理赔时必须提供由专科医生出具的诊断书及手术证明。</w:t>
      </w:r>
    </w:p>
    <w:p w14:paraId="085DBB21" w14:textId="77777777" w:rsidR="008F265F" w:rsidRPr="003B685F" w:rsidRDefault="00A542E4">
      <w:pPr>
        <w:pStyle w:val="30"/>
        <w:numPr>
          <w:ilvl w:val="0"/>
          <w:numId w:val="0"/>
        </w:numPr>
        <w:spacing w:beforeLines="50" w:before="156"/>
        <w:ind w:left="4" w:firstLineChars="200" w:firstLine="420"/>
        <w:rPr>
          <w:shd w:val="pct15" w:color="auto" w:fill="FFFFFF"/>
        </w:rPr>
      </w:pPr>
      <w:r w:rsidRPr="003B685F">
        <w:rPr>
          <w:rFonts w:hint="eastAsia"/>
          <w:b w:val="0"/>
          <w:shd w:val="pct15" w:color="auto" w:fill="FFFFFF"/>
        </w:rPr>
        <w:t>因外伤而实施的脑外科手术不在保障范围内。</w:t>
      </w:r>
    </w:p>
    <w:p w14:paraId="0EE09A16"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我们对“微创颅脑手术”、“脑垂体瘤、脑囊肿、脑动脉瘤及脑血管瘤”和“植入大脑内分流器”三项中的其中一项承担保险责任，给付其中一项保险金后，对另两项轻症疾病保险责任同时终止。</w:t>
      </w:r>
    </w:p>
    <w:p w14:paraId="59840134"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系统性红斑狼疮</w:t>
      </w:r>
    </w:p>
    <w:p w14:paraId="382EFF1C"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系统性红斑狼疮是一种系统性自身免疫病，以全身多系统多脏器受累、反复的复发与缓解、体内存在大量自身抗体为主要临床特点。须经相关专科</w:t>
      </w:r>
      <w:r>
        <w:rPr>
          <w:rFonts w:hint="eastAsia"/>
          <w:b w:val="0"/>
          <w:bCs w:val="0"/>
        </w:rPr>
        <w:lastRenderedPageBreak/>
        <w:t>医生确诊，并且未达到本主险合同所指重大疾病“系统性红斑狼疮 －（并发）Ⅲ型或以上狼疮性肾炎”或“严重慢性肾衰竭”的给付标准，且须满足下列至少三项条件：</w:t>
      </w:r>
    </w:p>
    <w:p w14:paraId="7DFD9921" w14:textId="77777777" w:rsidR="008F265F" w:rsidRDefault="00A542E4">
      <w:pPr>
        <w:pStyle w:val="30"/>
        <w:numPr>
          <w:ilvl w:val="0"/>
          <w:numId w:val="0"/>
        </w:numPr>
        <w:spacing w:beforeLines="0" w:before="0"/>
        <w:ind w:firstLineChars="200" w:firstLine="420"/>
        <w:rPr>
          <w:b w:val="0"/>
          <w:bCs w:val="0"/>
        </w:rPr>
      </w:pPr>
      <w:r>
        <w:rPr>
          <w:rFonts w:hint="eastAsia"/>
          <w:b w:val="0"/>
          <w:bCs w:val="0"/>
        </w:rPr>
        <w:t>1.关节炎：非磨损性关节炎，需涉及两个或两个以上关节；</w:t>
      </w:r>
    </w:p>
    <w:p w14:paraId="04E87D87" w14:textId="77777777" w:rsidR="008F265F" w:rsidRDefault="00A542E4">
      <w:pPr>
        <w:pStyle w:val="30"/>
        <w:numPr>
          <w:ilvl w:val="0"/>
          <w:numId w:val="0"/>
        </w:numPr>
        <w:spacing w:beforeLines="0" w:before="0"/>
        <w:ind w:firstLineChars="200" w:firstLine="420"/>
        <w:rPr>
          <w:b w:val="0"/>
          <w:bCs w:val="0"/>
        </w:rPr>
      </w:pPr>
      <w:r>
        <w:rPr>
          <w:rFonts w:hint="eastAsia"/>
          <w:b w:val="0"/>
          <w:bCs w:val="0"/>
        </w:rPr>
        <w:t>2.浆膜炎：胸膜炎或心包炎；</w:t>
      </w:r>
    </w:p>
    <w:p w14:paraId="6624654E" w14:textId="77777777" w:rsidR="008F265F" w:rsidRDefault="00A542E4">
      <w:pPr>
        <w:pStyle w:val="30"/>
        <w:numPr>
          <w:ilvl w:val="0"/>
          <w:numId w:val="0"/>
        </w:numPr>
        <w:spacing w:beforeLines="0" w:before="0"/>
        <w:ind w:firstLineChars="200" w:firstLine="420"/>
        <w:rPr>
          <w:b w:val="0"/>
          <w:bCs w:val="0"/>
        </w:rPr>
      </w:pPr>
      <w:r>
        <w:rPr>
          <w:rFonts w:hint="eastAsia"/>
          <w:b w:val="0"/>
          <w:bCs w:val="0"/>
        </w:rPr>
        <w:t>3.肾病：24小时尿蛋白定量达到0.5克，或尿液检查出现细胞管型；</w:t>
      </w:r>
    </w:p>
    <w:p w14:paraId="1D4F4332" w14:textId="77777777" w:rsidR="008F265F" w:rsidRDefault="00A542E4">
      <w:pPr>
        <w:pStyle w:val="30"/>
        <w:numPr>
          <w:ilvl w:val="0"/>
          <w:numId w:val="0"/>
        </w:numPr>
        <w:spacing w:beforeLines="0" w:before="0"/>
        <w:ind w:firstLineChars="200" w:firstLine="420"/>
        <w:rPr>
          <w:b w:val="0"/>
          <w:bCs w:val="0"/>
        </w:rPr>
      </w:pPr>
      <w:r>
        <w:rPr>
          <w:rFonts w:hint="eastAsia"/>
          <w:b w:val="0"/>
          <w:bCs w:val="0"/>
        </w:rPr>
        <w:t>4.血液学异常：溶血性贫血、白细胞减少、或血小板减少；</w:t>
      </w:r>
    </w:p>
    <w:p w14:paraId="04D19130" w14:textId="77777777" w:rsidR="008F265F" w:rsidRDefault="00A542E4">
      <w:pPr>
        <w:pStyle w:val="30"/>
        <w:numPr>
          <w:ilvl w:val="0"/>
          <w:numId w:val="0"/>
        </w:numPr>
        <w:spacing w:beforeLines="0" w:before="0"/>
        <w:ind w:firstLineChars="200" w:firstLine="420"/>
        <w:rPr>
          <w:b w:val="0"/>
          <w:bCs w:val="0"/>
        </w:rPr>
      </w:pPr>
      <w:r>
        <w:rPr>
          <w:rFonts w:hint="eastAsia"/>
          <w:b w:val="0"/>
          <w:bCs w:val="0"/>
        </w:rPr>
        <w:t>5.抗核抗体阳性、或抗dsDNA阳性，或抗Smith抗体阳性。</w:t>
      </w:r>
    </w:p>
    <w:p w14:paraId="76BB7E81"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视力严重受损——</w:t>
      </w:r>
      <w:r w:rsidRPr="003B685F">
        <w:rPr>
          <w:rFonts w:hint="eastAsia"/>
          <w:b w:val="0"/>
          <w:shd w:val="pct15" w:color="auto" w:fill="FFFFFF"/>
        </w:rPr>
        <w:t>三周岁后始理赔</w:t>
      </w:r>
    </w:p>
    <w:p w14:paraId="11F1112E"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指因疾病或者意外伤害导致双眼视力永久不可逆性丧失，且未达到本主险合同所指重大疾病“双目失明”的给付标准，但满足下列条件之一：</w:t>
      </w:r>
    </w:p>
    <w:p w14:paraId="682CBDFE" w14:textId="77777777" w:rsidR="008F265F" w:rsidRDefault="00A542E4">
      <w:pPr>
        <w:ind w:firstLineChars="200" w:firstLine="420"/>
        <w:rPr>
          <w:rFonts w:ascii="宋体" w:hAnsi="宋体"/>
        </w:rPr>
      </w:pPr>
      <w:r>
        <w:rPr>
          <w:rFonts w:ascii="宋体" w:hAnsi="宋体" w:hint="eastAsia"/>
        </w:rPr>
        <w:t>1</w:t>
      </w:r>
      <w:r>
        <w:rPr>
          <w:rFonts w:ascii="宋体" w:hAnsi="宋体"/>
        </w:rPr>
        <w:t>.</w:t>
      </w:r>
      <w:r>
        <w:rPr>
          <w:rFonts w:ascii="宋体" w:hAnsi="宋体" w:hint="eastAsia"/>
        </w:rPr>
        <w:t>双眼中较好眼矫正视力低于0.1（采用国际标准视力表，如果使用其他视力表应进行换算）；</w:t>
      </w:r>
    </w:p>
    <w:p w14:paraId="1781A087" w14:textId="77777777" w:rsidR="008F265F" w:rsidRDefault="00A542E4">
      <w:pPr>
        <w:ind w:firstLineChars="200" w:firstLine="420"/>
        <w:jc w:val="left"/>
        <w:rPr>
          <w:rFonts w:ascii="宋体" w:hAnsi="宋体"/>
        </w:rPr>
      </w:pPr>
      <w:r>
        <w:rPr>
          <w:rFonts w:ascii="宋体" w:hAnsi="宋体" w:hint="eastAsia"/>
        </w:rPr>
        <w:t>2</w:t>
      </w:r>
      <w:r>
        <w:rPr>
          <w:rFonts w:ascii="宋体" w:hAnsi="宋体"/>
        </w:rPr>
        <w:t>.</w:t>
      </w:r>
      <w:r>
        <w:rPr>
          <w:rFonts w:ascii="宋体" w:hAnsi="宋体" w:hint="eastAsia"/>
        </w:rPr>
        <w:t>双眼中较好眼视野半径小于20度。</w:t>
      </w:r>
    </w:p>
    <w:p w14:paraId="62F81A0E"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被保险人申请理赔时年龄必须在三周岁以上，并且提供视力丧失诊断及检查证据。</w:t>
      </w:r>
    </w:p>
    <w:p w14:paraId="630C8212"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我们对“视力严重受损——三周岁后始理赔”、“单目失明——三周岁后始理赔”、“角膜移植术”和“糖尿病视网膜增生性病变”四项中的其中一项承担保险责任，给付其中一项保险金后，对另三项轻症疾病保险责任同时终止。</w:t>
      </w:r>
    </w:p>
    <w:p w14:paraId="71E6D776"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慢性肝功能衰竭</w:t>
      </w:r>
    </w:p>
    <w:p w14:paraId="3FE4AB6D" w14:textId="6B749657" w:rsidR="008F265F" w:rsidRDefault="00A542E4" w:rsidP="00707EA5">
      <w:pPr>
        <w:pStyle w:val="30"/>
        <w:numPr>
          <w:ilvl w:val="0"/>
          <w:numId w:val="0"/>
        </w:numPr>
        <w:spacing w:beforeLines="50" w:before="156"/>
        <w:ind w:firstLineChars="200" w:firstLine="420"/>
        <w:rPr>
          <w:b w:val="0"/>
          <w:bCs w:val="0"/>
        </w:rPr>
      </w:pPr>
      <w:r>
        <w:rPr>
          <w:rFonts w:hint="eastAsia"/>
          <w:b w:val="0"/>
          <w:bCs w:val="0"/>
        </w:rPr>
        <w:lastRenderedPageBreak/>
        <w:t>指因慢性肝脏疾病导致肝功能衰竭，且未达到本主险合同所指重大疾病“严重慢性肝衰竭”的</w:t>
      </w:r>
      <w:r w:rsidR="00E76584">
        <w:rPr>
          <w:rFonts w:hint="eastAsia"/>
          <w:b w:val="0"/>
          <w:bCs w:val="0"/>
        </w:rPr>
        <w:t>给付</w:t>
      </w:r>
      <w:r>
        <w:rPr>
          <w:rFonts w:hint="eastAsia"/>
          <w:b w:val="0"/>
          <w:bCs w:val="0"/>
        </w:rPr>
        <w:t>标准。须满足下列任意三个条件：</w:t>
      </w:r>
    </w:p>
    <w:p w14:paraId="42913B41" w14:textId="77777777" w:rsidR="008F265F" w:rsidRDefault="00A542E4">
      <w:pPr>
        <w:pStyle w:val="30"/>
        <w:numPr>
          <w:ilvl w:val="0"/>
          <w:numId w:val="0"/>
        </w:numPr>
        <w:spacing w:beforeLines="0" w:before="0"/>
        <w:ind w:firstLineChars="200" w:firstLine="420"/>
        <w:rPr>
          <w:b w:val="0"/>
          <w:bCs w:val="0"/>
        </w:rPr>
      </w:pPr>
      <w:r>
        <w:rPr>
          <w:rFonts w:hint="eastAsia"/>
          <w:b w:val="0"/>
          <w:bCs w:val="0"/>
        </w:rPr>
        <w:t>1.持续性黄疸；</w:t>
      </w:r>
    </w:p>
    <w:p w14:paraId="589B1177" w14:textId="77777777" w:rsidR="008F265F" w:rsidRDefault="00A542E4">
      <w:pPr>
        <w:pStyle w:val="30"/>
        <w:numPr>
          <w:ilvl w:val="0"/>
          <w:numId w:val="0"/>
        </w:numPr>
        <w:spacing w:beforeLines="0" w:before="0"/>
        <w:ind w:firstLineChars="200" w:firstLine="420"/>
        <w:rPr>
          <w:b w:val="0"/>
          <w:bCs w:val="0"/>
        </w:rPr>
      </w:pPr>
      <w:r>
        <w:rPr>
          <w:rFonts w:hint="eastAsia"/>
          <w:b w:val="0"/>
          <w:bCs w:val="0"/>
        </w:rPr>
        <w:t>2.腹水；</w:t>
      </w:r>
    </w:p>
    <w:p w14:paraId="4FF9EECD" w14:textId="77777777" w:rsidR="008F265F" w:rsidRDefault="00A542E4">
      <w:pPr>
        <w:pStyle w:val="30"/>
        <w:numPr>
          <w:ilvl w:val="0"/>
          <w:numId w:val="0"/>
        </w:numPr>
        <w:spacing w:beforeLines="0" w:before="0"/>
        <w:ind w:firstLineChars="200" w:firstLine="420"/>
        <w:rPr>
          <w:b w:val="0"/>
          <w:bCs w:val="0"/>
        </w:rPr>
      </w:pPr>
      <w:r>
        <w:rPr>
          <w:rFonts w:hint="eastAsia"/>
          <w:b w:val="0"/>
          <w:bCs w:val="0"/>
        </w:rPr>
        <w:t>3.肝性脑病；</w:t>
      </w:r>
    </w:p>
    <w:p w14:paraId="424B0FE1" w14:textId="77777777" w:rsidR="008F265F" w:rsidRDefault="00A542E4">
      <w:pPr>
        <w:pStyle w:val="30"/>
        <w:numPr>
          <w:ilvl w:val="0"/>
          <w:numId w:val="0"/>
        </w:numPr>
        <w:spacing w:beforeLines="0" w:before="0"/>
        <w:ind w:firstLineChars="200" w:firstLine="420"/>
        <w:rPr>
          <w:b w:val="0"/>
          <w:bCs w:val="0"/>
        </w:rPr>
      </w:pPr>
      <w:r>
        <w:rPr>
          <w:rFonts w:hint="eastAsia"/>
          <w:b w:val="0"/>
          <w:bCs w:val="0"/>
        </w:rPr>
        <w:t>4.充血性脾肿大伴脾功能亢进或食管胃底静脉曲张。</w:t>
      </w:r>
    </w:p>
    <w:p w14:paraId="54AD09AC"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因酗酒或药物滥用导致的肝功能衰竭不在保障范围内。</w:t>
      </w:r>
    </w:p>
    <w:p w14:paraId="0D58EAA6"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我们对“病毒性肝炎导致的肝硬化”、“慢性肝功能衰竭”、“早期肝硬化”和“慢性肝衰竭代偿早期”四项中的其中一项承担保险责任，给付其中一项保险金后，对另三项轻症疾病保险责任同时终止。</w:t>
      </w:r>
    </w:p>
    <w:p w14:paraId="272E89A5"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全身较小面积Ⅲ度烧伤</w:t>
      </w:r>
    </w:p>
    <w:p w14:paraId="3F634047"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指烧伤程度为Ⅲ度，且Ⅲ度烧伤面积为全身体表面积的10%或者10%以上，但尚未达到</w:t>
      </w:r>
      <w:r>
        <w:rPr>
          <w:b w:val="0"/>
          <w:bCs w:val="0"/>
        </w:rPr>
        <w:t>15</w:t>
      </w:r>
      <w:r>
        <w:rPr>
          <w:rFonts w:hint="eastAsia"/>
          <w:b w:val="0"/>
          <w:bCs w:val="0"/>
        </w:rPr>
        <w:t>%。体表面积根据《中国新九分法》计算。</w:t>
      </w:r>
    </w:p>
    <w:p w14:paraId="5DA5CC9E"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若被保险人因同一原因导致其同时满足“全身较小面积Ⅲ度烧伤”、“轻度面部烧伤”的，仅按其中一项给付。</w:t>
      </w:r>
    </w:p>
    <w:p w14:paraId="3CA7A7A9"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冠状动脉介入手术</w:t>
      </w:r>
    </w:p>
    <w:p w14:paraId="06D7C535"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为了治疗明显的冠状动脉狭窄性疾病，首次实际实施了冠状动脉球囊扩张成形术、冠状动脉支架植入术、冠状动脉粥样斑块切除术或者激光冠状动脉成形术。并且未达到本主险合同所指重大疾病“较重急性心肌梗死”或“严重冠状动脉粥样硬化性心脏病”的给付标准。</w:t>
      </w:r>
    </w:p>
    <w:p w14:paraId="1EB52852"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lastRenderedPageBreak/>
        <w:t>我们对“冠状动脉介入手术”、“较轻急性心肌梗死”和“激光心肌血运重建术”三项中的其中一项承担保险责任，给付其中一项保险金后，对另两项轻症疾病保险责任同时终止。</w:t>
      </w:r>
    </w:p>
    <w:p w14:paraId="26D88FC2"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糖尿病视网膜增生性病变</w:t>
      </w:r>
    </w:p>
    <w:p w14:paraId="5D0FC145" w14:textId="77777777" w:rsidR="008F265F" w:rsidRDefault="00A542E4">
      <w:pPr>
        <w:pStyle w:val="30"/>
        <w:numPr>
          <w:ilvl w:val="0"/>
          <w:numId w:val="0"/>
        </w:numPr>
        <w:spacing w:beforeLines="50" w:before="156"/>
        <w:ind w:firstLineChars="202" w:firstLine="424"/>
        <w:rPr>
          <w:b w:val="0"/>
        </w:rPr>
      </w:pPr>
      <w:r>
        <w:rPr>
          <w:rFonts w:hint="eastAsia"/>
          <w:b w:val="0"/>
        </w:rPr>
        <w:t>经医院的眼科专科医生明确诊断因糖尿病而并发视网膜晚期增生性血管病变，且须满足下列全部条件：</w:t>
      </w:r>
    </w:p>
    <w:p w14:paraId="40764BF5" w14:textId="77777777" w:rsidR="008F265F" w:rsidRDefault="00A542E4">
      <w:pPr>
        <w:pStyle w:val="30"/>
        <w:numPr>
          <w:ilvl w:val="0"/>
          <w:numId w:val="0"/>
        </w:numPr>
        <w:spacing w:beforeLines="0" w:before="0"/>
        <w:ind w:firstLineChars="200" w:firstLine="420"/>
        <w:rPr>
          <w:b w:val="0"/>
          <w:bCs w:val="0"/>
        </w:rPr>
      </w:pPr>
      <w:r>
        <w:rPr>
          <w:b w:val="0"/>
          <w:bCs w:val="0"/>
        </w:rPr>
        <w:t>1．双眼中较好眼矫正视力低于0.3（采用国际标准视力表，如果使用其他视力表应进行换算）；</w:t>
      </w:r>
    </w:p>
    <w:p w14:paraId="154CD252" w14:textId="77777777" w:rsidR="008F265F" w:rsidRDefault="00A542E4">
      <w:pPr>
        <w:pStyle w:val="30"/>
        <w:numPr>
          <w:ilvl w:val="0"/>
          <w:numId w:val="0"/>
        </w:numPr>
        <w:spacing w:beforeLines="0" w:before="0"/>
        <w:ind w:firstLineChars="200" w:firstLine="420"/>
        <w:rPr>
          <w:b w:val="0"/>
          <w:bCs w:val="0"/>
        </w:rPr>
      </w:pPr>
      <w:r>
        <w:rPr>
          <w:b w:val="0"/>
          <w:bCs w:val="0"/>
        </w:rPr>
        <w:t>2.为改善视力障碍，实际实施了激光、手术等治疗。</w:t>
      </w:r>
    </w:p>
    <w:p w14:paraId="3F2D3EE0" w14:textId="77777777" w:rsidR="008F265F" w:rsidRPr="003B685F" w:rsidRDefault="00A542E4">
      <w:pPr>
        <w:pStyle w:val="30"/>
        <w:numPr>
          <w:ilvl w:val="0"/>
          <w:numId w:val="0"/>
        </w:numPr>
        <w:spacing w:beforeLines="50" w:before="156"/>
        <w:ind w:firstLineChars="202" w:firstLine="424"/>
        <w:rPr>
          <w:b w:val="0"/>
          <w:bCs w:val="0"/>
          <w:shd w:val="pct15" w:color="auto" w:fill="FFFFFF"/>
        </w:rPr>
      </w:pPr>
      <w:r w:rsidRPr="003B685F">
        <w:rPr>
          <w:rFonts w:hint="eastAsia"/>
          <w:b w:val="0"/>
          <w:shd w:val="pct15" w:color="auto" w:fill="FFFFFF"/>
        </w:rPr>
        <w:t>我们对“视力严重受损——</w:t>
      </w:r>
      <w:r w:rsidRPr="003B685F">
        <w:rPr>
          <w:rFonts w:hint="eastAsia"/>
          <w:b w:val="0"/>
          <w:bCs w:val="0"/>
          <w:shd w:val="pct15" w:color="auto" w:fill="FFFFFF"/>
        </w:rPr>
        <w:t>三周岁后始理赔</w:t>
      </w:r>
      <w:r w:rsidRPr="003B685F">
        <w:rPr>
          <w:rFonts w:hint="eastAsia"/>
          <w:b w:val="0"/>
          <w:shd w:val="pct15" w:color="auto" w:fill="FFFFFF"/>
        </w:rPr>
        <w:t>”、“单目失明——</w:t>
      </w:r>
      <w:r w:rsidRPr="003B685F">
        <w:rPr>
          <w:rFonts w:hint="eastAsia"/>
          <w:b w:val="0"/>
          <w:bCs w:val="0"/>
          <w:shd w:val="pct15" w:color="auto" w:fill="FFFFFF"/>
        </w:rPr>
        <w:t>三周岁后始理赔</w:t>
      </w:r>
      <w:r w:rsidRPr="003B685F">
        <w:rPr>
          <w:rFonts w:hint="eastAsia"/>
          <w:b w:val="0"/>
          <w:shd w:val="pct15" w:color="auto" w:fill="FFFFFF"/>
        </w:rPr>
        <w:t>”、“角膜移植术”和“糖尿病视网膜增生性病变”四项中的其中一项承担保险责任，给付其中一项保险金后，对另三项轻症疾病保险责任同时终止。</w:t>
      </w:r>
    </w:p>
    <w:p w14:paraId="45D1DBDC" w14:textId="77777777" w:rsidR="008F265F" w:rsidRDefault="00A542E4">
      <w:pPr>
        <w:pStyle w:val="30"/>
        <w:numPr>
          <w:ilvl w:val="0"/>
          <w:numId w:val="2"/>
        </w:numPr>
        <w:tabs>
          <w:tab w:val="clear" w:pos="420"/>
          <w:tab w:val="clear" w:pos="562"/>
          <w:tab w:val="left" w:pos="1276"/>
        </w:tabs>
        <w:spacing w:beforeLines="50" w:before="156"/>
        <w:ind w:leftChars="201" w:left="1132" w:hangingChars="338" w:hanging="710"/>
        <w:rPr>
          <w:b w:val="0"/>
        </w:rPr>
      </w:pPr>
      <w:r>
        <w:rPr>
          <w:rFonts w:hint="eastAsia"/>
          <w:b w:val="0"/>
        </w:rPr>
        <w:t>心包膜切除术</w:t>
      </w:r>
    </w:p>
    <w:p w14:paraId="1EEC6183" w14:textId="77777777" w:rsidR="008F265F" w:rsidRDefault="00A542E4">
      <w:pPr>
        <w:pStyle w:val="30"/>
        <w:numPr>
          <w:ilvl w:val="0"/>
          <w:numId w:val="0"/>
        </w:numPr>
        <w:spacing w:beforeLines="50" w:before="156"/>
        <w:ind w:firstLineChars="202" w:firstLine="424"/>
        <w:rPr>
          <w:b w:val="0"/>
        </w:rPr>
      </w:pPr>
      <w:r>
        <w:rPr>
          <w:rFonts w:hint="eastAsia"/>
          <w:b w:val="0"/>
        </w:rPr>
        <w:t>指为治疗心包膜疾病，实际实施了心包膜切除术，并且未达到本主险合同所指重大疾病“严重慢性缩窄性心包炎”的给付标准。手术必须在我们认可的医院的专科医生认为是医疗必须的情况下进行。</w:t>
      </w:r>
    </w:p>
    <w:p w14:paraId="6D65A937"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左半肝或右半肝切除术</w:t>
      </w:r>
    </w:p>
    <w:p w14:paraId="70199FE2" w14:textId="77777777" w:rsidR="008F265F" w:rsidRDefault="00A542E4">
      <w:pPr>
        <w:pStyle w:val="30"/>
        <w:numPr>
          <w:ilvl w:val="0"/>
          <w:numId w:val="0"/>
        </w:numPr>
        <w:spacing w:beforeLines="50" w:before="156"/>
        <w:ind w:firstLineChars="202" w:firstLine="424"/>
        <w:rPr>
          <w:b w:val="0"/>
        </w:rPr>
      </w:pPr>
      <w:r>
        <w:rPr>
          <w:rFonts w:hint="eastAsia"/>
          <w:b w:val="0"/>
        </w:rPr>
        <w:t>指因疾病或意外伤害导致肝脏严重损害，实际实施了左半肝或右半肝切除手术（备注：本定义采用国际肝胆胰学会于2000年发布的肝解剖和手术名称的命名方法）。</w:t>
      </w:r>
    </w:p>
    <w:p w14:paraId="22179983" w14:textId="77777777" w:rsidR="008F265F" w:rsidRPr="003B685F" w:rsidRDefault="00A542E4">
      <w:pPr>
        <w:pStyle w:val="30"/>
        <w:numPr>
          <w:ilvl w:val="0"/>
          <w:numId w:val="0"/>
        </w:numPr>
        <w:spacing w:beforeLines="50" w:before="156"/>
        <w:ind w:firstLineChars="202" w:firstLine="424"/>
        <w:rPr>
          <w:b w:val="0"/>
          <w:shd w:val="pct15" w:color="auto" w:fill="FFFFFF"/>
        </w:rPr>
      </w:pPr>
      <w:r w:rsidRPr="003B685F">
        <w:rPr>
          <w:rFonts w:hint="eastAsia"/>
          <w:b w:val="0"/>
          <w:shd w:val="pct15" w:color="auto" w:fill="FFFFFF"/>
        </w:rPr>
        <w:lastRenderedPageBreak/>
        <w:t>下列情况不在保障范围内：</w:t>
      </w:r>
    </w:p>
    <w:p w14:paraId="7E690C87"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1</w:t>
      </w:r>
      <w:r w:rsidRPr="003B685F">
        <w:rPr>
          <w:b w:val="0"/>
          <w:shd w:val="pct15" w:color="auto" w:fill="FFFFFF"/>
        </w:rPr>
        <w:t>.</w:t>
      </w:r>
      <w:r w:rsidRPr="003B685F">
        <w:rPr>
          <w:rFonts w:hint="eastAsia"/>
          <w:b w:val="0"/>
          <w:bCs w:val="0"/>
          <w:shd w:val="pct15" w:color="auto" w:fill="FFFFFF"/>
        </w:rPr>
        <w:t>因酒精或者滥用药物引致的疾病或者紊乱而实施的肝切除手术；</w:t>
      </w:r>
    </w:p>
    <w:p w14:paraId="1F12A45C" w14:textId="77777777" w:rsidR="008F265F" w:rsidRPr="003B685F" w:rsidRDefault="00A542E4">
      <w:pPr>
        <w:pStyle w:val="30"/>
        <w:numPr>
          <w:ilvl w:val="0"/>
          <w:numId w:val="0"/>
        </w:numPr>
        <w:spacing w:beforeLines="0" w:before="0"/>
        <w:ind w:firstLineChars="200" w:firstLine="420"/>
        <w:rPr>
          <w:b w:val="0"/>
          <w:bCs w:val="0"/>
          <w:shd w:val="pct15" w:color="auto" w:fill="FFFFFF"/>
        </w:rPr>
      </w:pPr>
      <w:r w:rsidRPr="003B685F">
        <w:rPr>
          <w:rFonts w:hint="eastAsia"/>
          <w:b w:val="0"/>
          <w:bCs w:val="0"/>
          <w:shd w:val="pct15" w:color="auto" w:fill="FFFFFF"/>
        </w:rPr>
        <w:t>2</w:t>
      </w:r>
      <w:r w:rsidRPr="003B685F">
        <w:rPr>
          <w:b w:val="0"/>
          <w:bCs w:val="0"/>
          <w:shd w:val="pct15" w:color="auto" w:fill="FFFFFF"/>
        </w:rPr>
        <w:t>.</w:t>
      </w:r>
      <w:r w:rsidRPr="003B685F">
        <w:rPr>
          <w:rFonts w:hint="eastAsia"/>
          <w:b w:val="0"/>
          <w:bCs w:val="0"/>
          <w:shd w:val="pct15" w:color="auto" w:fill="FFFFFF"/>
        </w:rPr>
        <w:t>因恶性肿瘤进行的肝切除手术；</w:t>
      </w:r>
    </w:p>
    <w:p w14:paraId="29382714" w14:textId="77777777" w:rsidR="008F265F" w:rsidRPr="003B685F" w:rsidRDefault="00A542E4">
      <w:pPr>
        <w:pStyle w:val="30"/>
        <w:numPr>
          <w:ilvl w:val="0"/>
          <w:numId w:val="0"/>
        </w:numPr>
        <w:spacing w:beforeLines="0" w:before="0"/>
        <w:ind w:firstLineChars="200" w:firstLine="420"/>
        <w:rPr>
          <w:b w:val="0"/>
          <w:bCs w:val="0"/>
          <w:shd w:val="pct15" w:color="auto" w:fill="FFFFFF"/>
        </w:rPr>
      </w:pPr>
      <w:r w:rsidRPr="003B685F">
        <w:rPr>
          <w:b w:val="0"/>
          <w:bCs w:val="0"/>
          <w:shd w:val="pct15" w:color="auto" w:fill="FFFFFF"/>
        </w:rPr>
        <w:t>3.</w:t>
      </w:r>
      <w:r w:rsidRPr="003B685F">
        <w:rPr>
          <w:rFonts w:hint="eastAsia"/>
          <w:b w:val="0"/>
          <w:bCs w:val="0"/>
          <w:shd w:val="pct15" w:color="auto" w:fill="FFFFFF"/>
        </w:rPr>
        <w:t>作为器官捐献者或肝移植接受者而实施的肝切除手术。</w:t>
      </w:r>
    </w:p>
    <w:p w14:paraId="6A3FF2F2"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植入大脑内分流器</w:t>
      </w:r>
    </w:p>
    <w:p w14:paraId="32580F19" w14:textId="77777777" w:rsidR="008F265F" w:rsidRDefault="00A542E4">
      <w:pPr>
        <w:pStyle w:val="30"/>
        <w:numPr>
          <w:ilvl w:val="0"/>
          <w:numId w:val="0"/>
        </w:numPr>
        <w:spacing w:beforeLines="50" w:before="156"/>
        <w:ind w:firstLineChars="200" w:firstLine="420"/>
        <w:rPr>
          <w:b w:val="0"/>
        </w:rPr>
      </w:pPr>
      <w:r>
        <w:rPr>
          <w:rFonts w:hint="eastAsia"/>
          <w:b w:val="0"/>
        </w:rPr>
        <w:t>指在脑室进行分流器植入手术，以缓解升高的脑脊液压力。必须由相关专科医生证实植入分流器为医疗所需，并且未达到本主险合同所指重大疾病“严重脑损伤”、“颅脑手术”或“破裂脑动脉瘤开颅夹闭手术”给付标准。</w:t>
      </w:r>
    </w:p>
    <w:p w14:paraId="7747FC1C"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先天性脑积水不在保障范围内。</w:t>
      </w:r>
    </w:p>
    <w:p w14:paraId="1F9FA9B2" w14:textId="77777777" w:rsidR="008F265F" w:rsidRPr="003B685F" w:rsidRDefault="00A542E4">
      <w:pPr>
        <w:pStyle w:val="30"/>
        <w:numPr>
          <w:ilvl w:val="0"/>
          <w:numId w:val="0"/>
        </w:numPr>
        <w:tabs>
          <w:tab w:val="clear" w:pos="420"/>
          <w:tab w:val="left" w:pos="0"/>
        </w:tabs>
        <w:spacing w:beforeLines="50" w:before="156"/>
        <w:ind w:firstLineChars="200" w:firstLine="420"/>
        <w:rPr>
          <w:b w:val="0"/>
          <w:shd w:val="pct15" w:color="auto" w:fill="FFFFFF"/>
        </w:rPr>
      </w:pPr>
      <w:r w:rsidRPr="003B685F">
        <w:rPr>
          <w:rFonts w:hint="eastAsia"/>
          <w:b w:val="0"/>
          <w:shd w:val="pct15" w:color="auto" w:fill="FFFFFF"/>
        </w:rPr>
        <w:t>我们对“微创颅脑手术”、“脑垂体瘤、脑囊肿、脑动脉瘤及脑血管瘤”和“植入大脑内分流器”三项中的其中一项承担保险责任，给付其中一项保险金后，对另两项轻症疾病保险责任同时终止。</w:t>
      </w:r>
    </w:p>
    <w:p w14:paraId="4B3DDE51"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双侧睾丸切除术</w:t>
      </w:r>
    </w:p>
    <w:p w14:paraId="1F869C4C" w14:textId="77777777" w:rsidR="008F265F" w:rsidRDefault="00A542E4">
      <w:pPr>
        <w:pStyle w:val="30"/>
        <w:numPr>
          <w:ilvl w:val="0"/>
          <w:numId w:val="0"/>
        </w:numPr>
        <w:spacing w:beforeLines="50" w:before="156"/>
        <w:ind w:firstLineChars="202" w:firstLine="424"/>
        <w:rPr>
          <w:b w:val="0"/>
        </w:rPr>
      </w:pPr>
      <w:r>
        <w:rPr>
          <w:rFonts w:hint="eastAsia"/>
          <w:b w:val="0"/>
        </w:rPr>
        <w:t>指为治疗疾病实际接受了经腹部切开或腹腔镜进行的双侧睾丸完全切除手术。</w:t>
      </w:r>
    </w:p>
    <w:p w14:paraId="0A26E568" w14:textId="77777777" w:rsidR="008F265F" w:rsidRPr="003B685F" w:rsidRDefault="00A542E4">
      <w:pPr>
        <w:pStyle w:val="30"/>
        <w:numPr>
          <w:ilvl w:val="0"/>
          <w:numId w:val="0"/>
        </w:numPr>
        <w:spacing w:beforeLines="50" w:before="156"/>
        <w:ind w:firstLineChars="202" w:firstLine="424"/>
        <w:rPr>
          <w:b w:val="0"/>
          <w:shd w:val="pct15" w:color="auto" w:fill="FFFFFF"/>
        </w:rPr>
      </w:pPr>
      <w:r w:rsidRPr="003B685F">
        <w:rPr>
          <w:rFonts w:hint="eastAsia"/>
          <w:b w:val="0"/>
          <w:shd w:val="pct15" w:color="auto" w:fill="FFFFFF"/>
        </w:rPr>
        <w:t>下列情况不在保障范围内：</w:t>
      </w:r>
    </w:p>
    <w:p w14:paraId="113B7970"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1</w:t>
      </w:r>
      <w:r w:rsidRPr="003B685F">
        <w:rPr>
          <w:b w:val="0"/>
          <w:shd w:val="pct15" w:color="auto" w:fill="FFFFFF"/>
        </w:rPr>
        <w:t>.</w:t>
      </w:r>
      <w:r w:rsidRPr="003B685F">
        <w:rPr>
          <w:rFonts w:hint="eastAsia"/>
          <w:b w:val="0"/>
          <w:shd w:val="pct15" w:color="auto" w:fill="FFFFFF"/>
        </w:rPr>
        <w:t>部分睾丸切除；</w:t>
      </w:r>
    </w:p>
    <w:p w14:paraId="31AE6912" w14:textId="77777777" w:rsidR="008F265F" w:rsidRPr="003B685F" w:rsidRDefault="00A542E4">
      <w:pPr>
        <w:pStyle w:val="30"/>
        <w:numPr>
          <w:ilvl w:val="0"/>
          <w:numId w:val="0"/>
        </w:numPr>
        <w:spacing w:beforeLines="0" w:before="0"/>
        <w:ind w:firstLineChars="202" w:firstLine="424"/>
        <w:rPr>
          <w:b w:val="0"/>
          <w:shd w:val="pct15" w:color="auto" w:fill="FFFFFF"/>
        </w:rPr>
      </w:pPr>
      <w:r w:rsidRPr="003B685F">
        <w:rPr>
          <w:rFonts w:hint="eastAsia"/>
          <w:b w:val="0"/>
          <w:shd w:val="pct15" w:color="auto" w:fill="FFFFFF"/>
        </w:rPr>
        <w:t>2</w:t>
      </w:r>
      <w:r w:rsidRPr="003B685F">
        <w:rPr>
          <w:b w:val="0"/>
          <w:shd w:val="pct15" w:color="auto" w:fill="FFFFFF"/>
        </w:rPr>
        <w:t>.</w:t>
      </w:r>
      <w:r w:rsidRPr="003B685F">
        <w:rPr>
          <w:rFonts w:hint="eastAsia"/>
          <w:b w:val="0"/>
          <w:shd w:val="pct15" w:color="auto" w:fill="FFFFFF"/>
        </w:rPr>
        <w:t>变性手术；</w:t>
      </w:r>
    </w:p>
    <w:p w14:paraId="0B01B7E7" w14:textId="77777777" w:rsidR="008F265F" w:rsidRPr="003B685F" w:rsidRDefault="00A542E4">
      <w:pPr>
        <w:pStyle w:val="30"/>
        <w:numPr>
          <w:ilvl w:val="0"/>
          <w:numId w:val="0"/>
        </w:numPr>
        <w:spacing w:beforeLines="0" w:before="0"/>
        <w:ind w:firstLineChars="202" w:firstLine="424"/>
        <w:rPr>
          <w:b w:val="0"/>
          <w:shd w:val="pct15" w:color="auto" w:fill="FFFFFF"/>
        </w:rPr>
      </w:pPr>
      <w:r w:rsidRPr="003B685F">
        <w:rPr>
          <w:rFonts w:hint="eastAsia"/>
          <w:b w:val="0"/>
          <w:shd w:val="pct15" w:color="auto" w:fill="FFFFFF"/>
        </w:rPr>
        <w:t>3</w:t>
      </w:r>
      <w:r w:rsidRPr="003B685F">
        <w:rPr>
          <w:b w:val="0"/>
          <w:shd w:val="pct15" w:color="auto" w:fill="FFFFFF"/>
        </w:rPr>
        <w:t>.</w:t>
      </w:r>
      <w:r w:rsidRPr="003B685F">
        <w:rPr>
          <w:rFonts w:hint="eastAsia"/>
          <w:b w:val="0"/>
          <w:shd w:val="pct15" w:color="auto" w:fill="FFFFFF"/>
        </w:rPr>
        <w:t>因恶性肿瘤进行的睾丸切除术。</w:t>
      </w:r>
    </w:p>
    <w:p w14:paraId="5BF8BCA8"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双侧卵巢切除术</w:t>
      </w:r>
    </w:p>
    <w:p w14:paraId="706A6B85" w14:textId="77777777" w:rsidR="008F265F" w:rsidRDefault="00A542E4">
      <w:pPr>
        <w:pStyle w:val="30"/>
        <w:numPr>
          <w:ilvl w:val="0"/>
          <w:numId w:val="0"/>
        </w:numPr>
        <w:spacing w:beforeLines="50" w:before="156"/>
        <w:ind w:left="420"/>
        <w:rPr>
          <w:b w:val="0"/>
        </w:rPr>
      </w:pPr>
      <w:r>
        <w:rPr>
          <w:rFonts w:hint="eastAsia"/>
          <w:b w:val="0"/>
        </w:rPr>
        <w:lastRenderedPageBreak/>
        <w:t>指为治疗疾病实际接受了经腹部切开或腹腔镜进行的双侧卵巢完全切除手术。</w:t>
      </w:r>
    </w:p>
    <w:p w14:paraId="3DABBC23" w14:textId="77777777" w:rsidR="008F265F" w:rsidRPr="003B685F" w:rsidRDefault="00A542E4">
      <w:pPr>
        <w:pStyle w:val="30"/>
        <w:numPr>
          <w:ilvl w:val="0"/>
          <w:numId w:val="0"/>
        </w:numPr>
        <w:spacing w:beforeLines="50" w:before="156"/>
        <w:ind w:left="420"/>
        <w:rPr>
          <w:b w:val="0"/>
          <w:shd w:val="pct15" w:color="auto" w:fill="FFFFFF"/>
        </w:rPr>
      </w:pPr>
      <w:r w:rsidRPr="003B685F">
        <w:rPr>
          <w:rFonts w:hint="eastAsia"/>
          <w:b w:val="0"/>
          <w:shd w:val="pct15" w:color="auto" w:fill="FFFFFF"/>
        </w:rPr>
        <w:t>下列情况不在保障范围内：</w:t>
      </w:r>
    </w:p>
    <w:p w14:paraId="005D5712"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1</w:t>
      </w:r>
      <w:r w:rsidRPr="003B685F">
        <w:rPr>
          <w:b w:val="0"/>
          <w:shd w:val="pct15" w:color="auto" w:fill="FFFFFF"/>
        </w:rPr>
        <w:t>.</w:t>
      </w:r>
      <w:r w:rsidRPr="003B685F">
        <w:rPr>
          <w:rFonts w:hint="eastAsia"/>
          <w:b w:val="0"/>
          <w:shd w:val="pct15" w:color="auto" w:fill="FFFFFF"/>
        </w:rPr>
        <w:t>部分卵巢切除；</w:t>
      </w:r>
    </w:p>
    <w:p w14:paraId="17E2048A" w14:textId="77777777" w:rsidR="008F265F" w:rsidRPr="003B685F" w:rsidRDefault="00A542E4">
      <w:pPr>
        <w:pStyle w:val="30"/>
        <w:numPr>
          <w:ilvl w:val="0"/>
          <w:numId w:val="0"/>
        </w:numPr>
        <w:spacing w:beforeLines="0" w:before="0"/>
        <w:ind w:firstLineChars="202" w:firstLine="424"/>
        <w:rPr>
          <w:b w:val="0"/>
          <w:shd w:val="pct15" w:color="auto" w:fill="FFFFFF"/>
        </w:rPr>
      </w:pPr>
      <w:r w:rsidRPr="003B685F">
        <w:rPr>
          <w:rFonts w:hint="eastAsia"/>
          <w:b w:val="0"/>
          <w:shd w:val="pct15" w:color="auto" w:fill="FFFFFF"/>
        </w:rPr>
        <w:t>2</w:t>
      </w:r>
      <w:r w:rsidRPr="003B685F">
        <w:rPr>
          <w:b w:val="0"/>
          <w:shd w:val="pct15" w:color="auto" w:fill="FFFFFF"/>
        </w:rPr>
        <w:t>.</w:t>
      </w:r>
      <w:r w:rsidRPr="003B685F">
        <w:rPr>
          <w:rFonts w:hint="eastAsia"/>
          <w:b w:val="0"/>
          <w:shd w:val="pct15" w:color="auto" w:fill="FFFFFF"/>
        </w:rPr>
        <w:t>变性手术；</w:t>
      </w:r>
    </w:p>
    <w:p w14:paraId="54D4E20C" w14:textId="77777777" w:rsidR="008F265F" w:rsidRPr="003B685F" w:rsidRDefault="00A542E4">
      <w:pPr>
        <w:pStyle w:val="30"/>
        <w:numPr>
          <w:ilvl w:val="0"/>
          <w:numId w:val="0"/>
        </w:numPr>
        <w:spacing w:beforeLines="0" w:before="0"/>
        <w:ind w:firstLineChars="202" w:firstLine="424"/>
        <w:rPr>
          <w:b w:val="0"/>
          <w:shd w:val="pct15" w:color="auto" w:fill="FFFFFF"/>
        </w:rPr>
      </w:pPr>
      <w:r w:rsidRPr="003B685F">
        <w:rPr>
          <w:b w:val="0"/>
          <w:shd w:val="pct15" w:color="auto" w:fill="FFFFFF"/>
        </w:rPr>
        <w:t>3</w:t>
      </w:r>
      <w:r w:rsidRPr="003B685F">
        <w:rPr>
          <w:rFonts w:hint="eastAsia"/>
          <w:b w:val="0"/>
          <w:shd w:val="pct15" w:color="auto" w:fill="FFFFFF"/>
        </w:rPr>
        <w:t>.因恶性肿瘤进行的卵巢切除术；</w:t>
      </w:r>
    </w:p>
    <w:p w14:paraId="05F0CC3F" w14:textId="77777777" w:rsidR="008F265F" w:rsidRPr="003B685F" w:rsidRDefault="00A542E4">
      <w:pPr>
        <w:pStyle w:val="30"/>
        <w:numPr>
          <w:ilvl w:val="0"/>
          <w:numId w:val="0"/>
        </w:numPr>
        <w:spacing w:beforeLines="0" w:before="0"/>
        <w:ind w:firstLineChars="202" w:firstLine="424"/>
        <w:rPr>
          <w:b w:val="0"/>
          <w:shd w:val="pct15" w:color="auto" w:fill="FFFFFF"/>
        </w:rPr>
      </w:pPr>
      <w:r w:rsidRPr="003B685F">
        <w:rPr>
          <w:b w:val="0"/>
          <w:shd w:val="pct15" w:color="auto" w:fill="FFFFFF"/>
        </w:rPr>
        <w:t>4</w:t>
      </w:r>
      <w:r w:rsidRPr="003B685F">
        <w:rPr>
          <w:rFonts w:hint="eastAsia"/>
          <w:b w:val="0"/>
          <w:shd w:val="pct15" w:color="auto" w:fill="FFFFFF"/>
        </w:rPr>
        <w:t>.预防性卵巢切除。</w:t>
      </w:r>
    </w:p>
    <w:p w14:paraId="01D8496F"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心脏瓣膜介入手术</w:t>
      </w:r>
    </w:p>
    <w:p w14:paraId="6185D1CF" w14:textId="77777777" w:rsidR="008F265F" w:rsidRDefault="00A542E4">
      <w:pPr>
        <w:pStyle w:val="30"/>
        <w:numPr>
          <w:ilvl w:val="0"/>
          <w:numId w:val="0"/>
        </w:numPr>
        <w:spacing w:beforeLines="50" w:before="156"/>
        <w:ind w:left="420"/>
        <w:rPr>
          <w:b w:val="0"/>
        </w:rPr>
      </w:pPr>
      <w:r>
        <w:rPr>
          <w:rFonts w:hint="eastAsia"/>
          <w:b w:val="0"/>
        </w:rPr>
        <w:t>为了治疗心脏瓣膜疾病，实际实施了经皮经导管介入手术进行的心脏瓣膜置换或者修复手术。</w:t>
      </w:r>
    </w:p>
    <w:p w14:paraId="496824F4" w14:textId="57D6C549" w:rsidR="008F265F" w:rsidRPr="003B685F" w:rsidRDefault="00A542E4">
      <w:pPr>
        <w:pStyle w:val="30"/>
        <w:numPr>
          <w:ilvl w:val="0"/>
          <w:numId w:val="0"/>
        </w:numPr>
        <w:tabs>
          <w:tab w:val="clear" w:pos="420"/>
        </w:tabs>
        <w:spacing w:beforeLines="50" w:before="156"/>
        <w:ind w:firstLine="420"/>
        <w:rPr>
          <w:b w:val="0"/>
          <w:shd w:val="pct15" w:color="auto" w:fill="FFFFFF"/>
        </w:rPr>
      </w:pPr>
      <w:r w:rsidRPr="003B685F">
        <w:rPr>
          <w:rFonts w:hint="eastAsia"/>
          <w:b w:val="0"/>
          <w:shd w:val="pct15" w:color="auto" w:fill="FFFFFF"/>
        </w:rPr>
        <w:t>我们对“轻度感染性心内膜炎”和“心脏瓣膜介入手术”两项中的其中一项承担保险责任，给付其中一项保险金后，对另一项轻</w:t>
      </w:r>
      <w:r w:rsidR="00F42F0D">
        <w:rPr>
          <w:rFonts w:hint="eastAsia"/>
          <w:b w:val="0"/>
          <w:shd w:val="pct15" w:color="auto" w:fill="FFFFFF"/>
        </w:rPr>
        <w:t>症</w:t>
      </w:r>
      <w:r w:rsidRPr="003B685F">
        <w:rPr>
          <w:rFonts w:hint="eastAsia"/>
          <w:b w:val="0"/>
          <w:shd w:val="pct15" w:color="auto" w:fill="FFFFFF"/>
        </w:rPr>
        <w:t>疾病保险责任同时终止。</w:t>
      </w:r>
    </w:p>
    <w:p w14:paraId="3B5E8992"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b w:val="0"/>
        </w:rPr>
        <w:t>特</w:t>
      </w:r>
      <w:r>
        <w:rPr>
          <w:rFonts w:hint="eastAsia"/>
          <w:b w:val="0"/>
        </w:rPr>
        <w:t>发性肺动脉高压</w:t>
      </w:r>
    </w:p>
    <w:p w14:paraId="34D07337" w14:textId="77777777" w:rsidR="008F265F" w:rsidRDefault="00A542E4">
      <w:pPr>
        <w:pStyle w:val="30"/>
        <w:numPr>
          <w:ilvl w:val="0"/>
          <w:numId w:val="0"/>
        </w:numPr>
        <w:spacing w:beforeLines="50" w:before="156"/>
        <w:ind w:firstLineChars="202" w:firstLine="424"/>
        <w:rPr>
          <w:b w:val="0"/>
        </w:rPr>
      </w:pPr>
      <w:r>
        <w:rPr>
          <w:rFonts w:hint="eastAsia"/>
          <w:b w:val="0"/>
        </w:rPr>
        <w:t>指不明原因的肺动脉压力持续性增高，进行性发展而导致的慢性疾病，已经造成永久不可逆性的体力活动能力受限，达到</w:t>
      </w:r>
      <w:r>
        <w:rPr>
          <w:rFonts w:hint="eastAsia"/>
          <w:color w:val="000000"/>
        </w:rPr>
        <w:t>美国纽约心脏病学会（</w:t>
      </w:r>
      <w:r>
        <w:rPr>
          <w:color w:val="000000"/>
        </w:rPr>
        <w:t>New York Heart Association，NYHA）心功能状态分级</w:t>
      </w:r>
      <w:r>
        <w:rPr>
          <w:rStyle w:val="af3"/>
          <w:color w:val="000000"/>
        </w:rPr>
        <w:footnoteReference w:id="42"/>
      </w:r>
      <w:r>
        <w:rPr>
          <w:rFonts w:hint="eastAsia"/>
          <w:b w:val="0"/>
          <w:color w:val="000000"/>
        </w:rPr>
        <w:t>Ⅲ</w:t>
      </w:r>
      <w:r>
        <w:rPr>
          <w:rFonts w:hint="eastAsia"/>
          <w:b w:val="0"/>
        </w:rPr>
        <w:t>级及以</w:t>
      </w:r>
      <w:r>
        <w:rPr>
          <w:rFonts w:hint="eastAsia"/>
          <w:b w:val="0"/>
        </w:rPr>
        <w:lastRenderedPageBreak/>
        <w:t>上，且静息状态下肺动脉平均压在26mmHg（含）以上。并且未达到本主险合同所指重大疾病“严重特发性肺动脉高压”或“肺源性心脏病”的给付标准。</w:t>
      </w:r>
    </w:p>
    <w:p w14:paraId="3D552A03"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早期原发性心肌病</w:t>
      </w:r>
    </w:p>
    <w:p w14:paraId="073990BB" w14:textId="48737BDF" w:rsidR="008F265F" w:rsidRDefault="00A542E4">
      <w:pPr>
        <w:pStyle w:val="30"/>
        <w:numPr>
          <w:ilvl w:val="0"/>
          <w:numId w:val="0"/>
        </w:numPr>
        <w:spacing w:beforeLines="50" w:before="156"/>
        <w:ind w:firstLineChars="202" w:firstLine="424"/>
        <w:rPr>
          <w:b w:val="0"/>
        </w:rPr>
      </w:pPr>
      <w:r>
        <w:rPr>
          <w:rFonts w:hint="eastAsia"/>
          <w:b w:val="0"/>
        </w:rPr>
        <w:t>被诊断为原发性心肌病，并符合下列所有条件，但未达到本主险合同所指重大疾病“严重心肌病”的</w:t>
      </w:r>
      <w:r w:rsidR="00707EA5">
        <w:rPr>
          <w:rFonts w:hint="eastAsia"/>
          <w:b w:val="0"/>
        </w:rPr>
        <w:t>给付</w:t>
      </w:r>
      <w:r>
        <w:rPr>
          <w:rFonts w:hint="eastAsia"/>
          <w:b w:val="0"/>
        </w:rPr>
        <w:t>标准：</w:t>
      </w:r>
    </w:p>
    <w:p w14:paraId="46720F07" w14:textId="77777777" w:rsidR="008F265F" w:rsidRDefault="00A542E4">
      <w:pPr>
        <w:pStyle w:val="30"/>
        <w:numPr>
          <w:ilvl w:val="0"/>
          <w:numId w:val="0"/>
        </w:numPr>
        <w:spacing w:beforeLines="0" w:before="0"/>
        <w:ind w:firstLineChars="200" w:firstLine="420"/>
        <w:rPr>
          <w:b w:val="0"/>
        </w:rPr>
      </w:pPr>
      <w:r>
        <w:rPr>
          <w:rFonts w:hint="eastAsia"/>
          <w:b w:val="0"/>
        </w:rPr>
        <w:t>1</w:t>
      </w:r>
      <w:r>
        <w:rPr>
          <w:b w:val="0"/>
        </w:rPr>
        <w:t>.</w:t>
      </w:r>
      <w:r>
        <w:rPr>
          <w:rFonts w:hint="eastAsia"/>
          <w:b w:val="0"/>
        </w:rPr>
        <w:t>导致心室功能受损，其受损程度达到美国纽约心脏病学会（New York Heart Association，NYHA）心功能状态分级Ⅲ级，或其同等级别；</w:t>
      </w:r>
    </w:p>
    <w:p w14:paraId="20B7691F" w14:textId="77777777" w:rsidR="008F265F" w:rsidRDefault="00A542E4">
      <w:pPr>
        <w:pStyle w:val="30"/>
        <w:numPr>
          <w:ilvl w:val="0"/>
          <w:numId w:val="0"/>
        </w:numPr>
        <w:spacing w:beforeLines="0" w:before="0"/>
        <w:ind w:firstLineChars="202" w:firstLine="424"/>
        <w:rPr>
          <w:b w:val="0"/>
        </w:rPr>
      </w:pPr>
      <w:r>
        <w:rPr>
          <w:rFonts w:hint="eastAsia"/>
          <w:b w:val="0"/>
        </w:rPr>
        <w:t>2</w:t>
      </w:r>
      <w:r>
        <w:rPr>
          <w:b w:val="0"/>
        </w:rPr>
        <w:t>.</w:t>
      </w:r>
      <w:r>
        <w:rPr>
          <w:rFonts w:hint="eastAsia"/>
          <w:b w:val="0"/>
        </w:rPr>
        <w:t>原发性心肌病的诊断必须由我们认可的医院的心脏专科医生确认，并提供心脏超声检查结果报告。</w:t>
      </w:r>
    </w:p>
    <w:p w14:paraId="37487B1E" w14:textId="77777777" w:rsidR="008F265F" w:rsidRPr="003B685F" w:rsidRDefault="00A542E4">
      <w:pPr>
        <w:pStyle w:val="30"/>
        <w:numPr>
          <w:ilvl w:val="0"/>
          <w:numId w:val="0"/>
        </w:numPr>
        <w:spacing w:beforeLines="50" w:before="156"/>
        <w:ind w:firstLineChars="201" w:firstLine="422"/>
        <w:rPr>
          <w:b w:val="0"/>
          <w:shd w:val="pct15" w:color="auto" w:fill="FFFFFF"/>
        </w:rPr>
      </w:pPr>
      <w:r w:rsidRPr="003B685F">
        <w:rPr>
          <w:rFonts w:hint="eastAsia"/>
          <w:b w:val="0"/>
          <w:shd w:val="pct15" w:color="auto" w:fill="FFFFFF"/>
        </w:rPr>
        <w:t>本保障范围内的心肌病仅包括扩张型心肌病、肥厚型心肌病及限制型心肌病。继发于全身性疾病或其他器官系统疾病及酒精滥用造成的心肌病变不在保障范围内。</w:t>
      </w:r>
    </w:p>
    <w:p w14:paraId="72A7F1DB"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主动脉介入手术</w:t>
      </w:r>
    </w:p>
    <w:p w14:paraId="2FF65519" w14:textId="77777777" w:rsidR="008F265F" w:rsidRDefault="00A542E4">
      <w:pPr>
        <w:pStyle w:val="30"/>
        <w:numPr>
          <w:ilvl w:val="0"/>
          <w:numId w:val="0"/>
        </w:numPr>
        <w:spacing w:beforeLines="50" w:before="156"/>
        <w:ind w:firstLineChars="200" w:firstLine="420"/>
        <w:rPr>
          <w:b w:val="0"/>
        </w:rPr>
      </w:pPr>
      <w:r>
        <w:rPr>
          <w:rFonts w:hint="eastAsia"/>
          <w:b w:val="0"/>
        </w:rPr>
        <w:t>指为治疗主动脉疾病或主动脉创伤，实际实施了经皮经导管进行的主动脉内手术，并且未达到本主险合同所指重大疾病“主动脉手术”的给付标准。</w:t>
      </w:r>
      <w:r>
        <w:rPr>
          <w:rFonts w:hint="eastAsia"/>
          <w:b w:val="0"/>
        </w:rPr>
        <w:lastRenderedPageBreak/>
        <w:t>主动脉指升主动脉、主动脉弓和降主动脉（含胸主动脉和腹主动脉），</w:t>
      </w:r>
      <w:r w:rsidRPr="003B685F">
        <w:rPr>
          <w:rFonts w:hint="eastAsia"/>
          <w:b w:val="0"/>
          <w:shd w:val="pct15" w:color="auto" w:fill="FFFFFF"/>
        </w:rPr>
        <w:t>不包括升主动脉、主动脉弓和降主动脉的分支血管</w:t>
      </w:r>
      <w:r w:rsidRPr="003B685F">
        <w:rPr>
          <w:rFonts w:hint="eastAsia"/>
          <w:b w:val="0"/>
        </w:rPr>
        <w:t>。</w:t>
      </w:r>
    </w:p>
    <w:p w14:paraId="182B6159"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早期系统性硬皮病</w:t>
      </w:r>
    </w:p>
    <w:p w14:paraId="53424ED3" w14:textId="72B87812" w:rsidR="008F265F" w:rsidRDefault="00A542E4">
      <w:pPr>
        <w:pStyle w:val="30"/>
        <w:numPr>
          <w:ilvl w:val="0"/>
          <w:numId w:val="0"/>
        </w:numPr>
        <w:spacing w:beforeLines="50" w:before="156"/>
        <w:ind w:firstLineChars="200" w:firstLine="420"/>
        <w:rPr>
          <w:b w:val="0"/>
        </w:rPr>
      </w:pPr>
      <w:r>
        <w:rPr>
          <w:rFonts w:hint="eastAsia"/>
          <w:b w:val="0"/>
        </w:rPr>
        <w:t>又称系统性硬化症，指一种以局限性或弥漫性皮肤增厚和皮肤、血管、内脏器官异常纤维化为特征的结缔组织病。本病须经专科医生明确诊断，并且未达到本主险合同所指重大疾病“系统性硬皮病”的给付标准，并须满足下列所有条件：</w:t>
      </w:r>
    </w:p>
    <w:p w14:paraId="31D6D709" w14:textId="77777777" w:rsidR="008F265F" w:rsidRDefault="00A542E4">
      <w:pPr>
        <w:pStyle w:val="30"/>
        <w:numPr>
          <w:ilvl w:val="0"/>
          <w:numId w:val="0"/>
        </w:numPr>
        <w:spacing w:beforeLines="0" w:before="0"/>
        <w:ind w:firstLineChars="200" w:firstLine="420"/>
        <w:rPr>
          <w:b w:val="0"/>
        </w:rPr>
      </w:pPr>
      <w:r>
        <w:rPr>
          <w:rFonts w:hint="eastAsia"/>
          <w:b w:val="0"/>
        </w:rPr>
        <w:t>1</w:t>
      </w:r>
      <w:r>
        <w:rPr>
          <w:b w:val="0"/>
        </w:rPr>
        <w:t>.</w:t>
      </w:r>
      <w:r>
        <w:rPr>
          <w:rFonts w:hint="eastAsia"/>
          <w:b w:val="0"/>
        </w:rPr>
        <w:t>必须是经由我们认可的医院的风湿学专科医生根据美国风湿病学会（ACR）及欧洲抗风湿病联盟（EULAR）在2013年发布的系统性硬皮病诊断标准确认达到确诊标准（总分值由每一个分类中的最高比重（分值）相加而成，总分≥9分的患者被分类为系统性硬皮病）；</w:t>
      </w:r>
    </w:p>
    <w:p w14:paraId="1A043AB4" w14:textId="77777777" w:rsidR="008F265F" w:rsidRDefault="00A542E4">
      <w:pPr>
        <w:pStyle w:val="30"/>
        <w:numPr>
          <w:ilvl w:val="0"/>
          <w:numId w:val="0"/>
        </w:numPr>
        <w:spacing w:beforeLines="0" w:before="0"/>
        <w:ind w:firstLineChars="200" w:firstLine="420"/>
        <w:rPr>
          <w:b w:val="0"/>
        </w:rPr>
      </w:pPr>
      <w:r>
        <w:rPr>
          <w:rFonts w:hint="eastAsia"/>
          <w:b w:val="0"/>
        </w:rPr>
        <w:t>2</w:t>
      </w:r>
      <w:r>
        <w:rPr>
          <w:b w:val="0"/>
        </w:rPr>
        <w:t>.</w:t>
      </w:r>
      <w:r>
        <w:rPr>
          <w:rFonts w:hint="eastAsia"/>
          <w:b w:val="0"/>
        </w:rPr>
        <w:t>须提供明确的病理活检及自身抗体免疫血清学证据支持。</w:t>
      </w:r>
    </w:p>
    <w:p w14:paraId="2F4CDB57"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以下情况不在保障范围内：</w:t>
      </w:r>
    </w:p>
    <w:p w14:paraId="32876B2D"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1</w:t>
      </w:r>
      <w:r w:rsidRPr="003B685F">
        <w:rPr>
          <w:b w:val="0"/>
          <w:shd w:val="pct15" w:color="auto" w:fill="FFFFFF"/>
        </w:rPr>
        <w:t>.</w:t>
      </w:r>
      <w:r w:rsidRPr="003B685F">
        <w:rPr>
          <w:rFonts w:hint="eastAsia"/>
          <w:b w:val="0"/>
          <w:shd w:val="pct15" w:color="auto" w:fill="FFFFFF"/>
        </w:rPr>
        <w:t>局限性硬皮病，又称局灶硬皮病；</w:t>
      </w:r>
    </w:p>
    <w:p w14:paraId="10277DA2"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2</w:t>
      </w:r>
      <w:r w:rsidRPr="003B685F">
        <w:rPr>
          <w:b w:val="0"/>
          <w:shd w:val="pct15" w:color="auto" w:fill="FFFFFF"/>
        </w:rPr>
        <w:t>.</w:t>
      </w:r>
      <w:r w:rsidRPr="003B685F">
        <w:rPr>
          <w:rFonts w:hint="eastAsia"/>
          <w:b w:val="0"/>
          <w:shd w:val="pct15" w:color="auto" w:fill="FFFFFF"/>
        </w:rPr>
        <w:t>嗜酸性筋膜炎；</w:t>
      </w:r>
    </w:p>
    <w:p w14:paraId="560B72FC" w14:textId="77777777" w:rsidR="008F265F" w:rsidRPr="003B685F" w:rsidRDefault="00A542E4">
      <w:pPr>
        <w:pStyle w:val="30"/>
        <w:numPr>
          <w:ilvl w:val="0"/>
          <w:numId w:val="0"/>
        </w:numPr>
        <w:spacing w:beforeLines="0" w:before="0"/>
        <w:ind w:firstLineChars="202" w:firstLine="424"/>
        <w:rPr>
          <w:b w:val="0"/>
          <w:shd w:val="pct15" w:color="auto" w:fill="FFFFFF"/>
        </w:rPr>
      </w:pPr>
      <w:r w:rsidRPr="003B685F">
        <w:rPr>
          <w:rFonts w:hint="eastAsia"/>
          <w:b w:val="0"/>
          <w:shd w:val="pct15" w:color="auto" w:fill="FFFFFF"/>
        </w:rPr>
        <w:t>3</w:t>
      </w:r>
      <w:r w:rsidRPr="003B685F">
        <w:rPr>
          <w:b w:val="0"/>
          <w:shd w:val="pct15" w:color="auto" w:fill="FFFFFF"/>
        </w:rPr>
        <w:t>.</w:t>
      </w:r>
      <w:r w:rsidRPr="003B685F">
        <w:rPr>
          <w:rFonts w:hint="eastAsia"/>
          <w:b w:val="0"/>
          <w:shd w:val="pct15" w:color="auto" w:fill="FFFFFF"/>
        </w:rPr>
        <w:t>CREST综合征。</w:t>
      </w:r>
    </w:p>
    <w:p w14:paraId="10472429"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丝虫感染所致早期象皮病</w:t>
      </w:r>
    </w:p>
    <w:p w14:paraId="144300FB"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指因丝虫感染导致淋巴管阻塞而造成身体组织出现严重淋巴水肿，达到国际淋巴学会淋巴水肿分期第II期，临床表现为肢体凹陷性水肿，肢体抬高休息时肿胀不消失，有中度纤维化，并且未达到本主险合同所指重大疾病“丝虫感染所致严重象皮病”的给付标准。</w:t>
      </w:r>
    </w:p>
    <w:p w14:paraId="6989469E" w14:textId="77777777" w:rsidR="008F265F" w:rsidRDefault="00A542E4">
      <w:pPr>
        <w:pStyle w:val="30"/>
        <w:numPr>
          <w:ilvl w:val="0"/>
          <w:numId w:val="0"/>
        </w:numPr>
        <w:spacing w:beforeLines="50" w:before="156"/>
        <w:ind w:firstLineChars="200" w:firstLine="420"/>
        <w:rPr>
          <w:b w:val="0"/>
          <w:shd w:val="pct10" w:color="auto" w:fill="FFFFFF"/>
        </w:rPr>
      </w:pPr>
      <w:r>
        <w:rPr>
          <w:rFonts w:hint="eastAsia"/>
          <w:b w:val="0"/>
          <w:bCs w:val="0"/>
        </w:rPr>
        <w:lastRenderedPageBreak/>
        <w:t>本病须经我们认可的医院的专科医生根据临床表现和微丝蚴的化验结果确诊。</w:t>
      </w:r>
    </w:p>
    <w:p w14:paraId="52670665"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因肾上腺皮质腺瘤切除肾上腺</w:t>
      </w:r>
    </w:p>
    <w:p w14:paraId="556D3937"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因肾上腺皮质腺瘤所导致的醛固酮分泌过多而产生的继发性恶性高血压而实际接受了肾上腺切除术治疗。</w:t>
      </w:r>
    </w:p>
    <w:p w14:paraId="5A38DBBB"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诊断及治疗均须在我们认可的医院内由专科医生认为是医疗必须的情况下进行。</w:t>
      </w:r>
    </w:p>
    <w:p w14:paraId="52526C39"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原位癌</w:t>
      </w:r>
    </w:p>
    <w:p w14:paraId="3F0EB800"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恶性细胞局限于上皮内尚未穿破基底膜浸润周围正常组织的癌细胞新生物，且须满足全部以下两个条件：</w:t>
      </w:r>
    </w:p>
    <w:p w14:paraId="32B5A40E"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1</w:t>
      </w:r>
      <w:r>
        <w:rPr>
          <w:b w:val="0"/>
          <w:bCs w:val="0"/>
        </w:rPr>
        <w:t>.</w:t>
      </w:r>
      <w:r>
        <w:rPr>
          <w:rFonts w:hint="eastAsia"/>
          <w:b w:val="0"/>
          <w:bCs w:val="0"/>
        </w:rPr>
        <w:t>必须经对固定活组织的组织病理学检查明确诊断，属于世界卫生组织《疾病和有关健康问题的国际统计分类》第十次修订版（ICD-10）的原位癌范畴（D00-D09）；</w:t>
      </w:r>
    </w:p>
    <w:p w14:paraId="7D636E92" w14:textId="77777777" w:rsidR="008F265F" w:rsidRDefault="00A542E4">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被保险人必须</w:t>
      </w:r>
      <w:r>
        <w:rPr>
          <w:b w:val="0"/>
          <w:bCs w:val="0"/>
        </w:rPr>
        <w:t>已</w:t>
      </w:r>
      <w:r>
        <w:rPr>
          <w:rFonts w:hint="eastAsia"/>
          <w:b w:val="0"/>
          <w:bCs w:val="0"/>
        </w:rPr>
        <w:t>经接受了针对原位癌病灶的手术治疗。</w:t>
      </w:r>
    </w:p>
    <w:p w14:paraId="6A95CDCC"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轻度急性坏死性筋膜炎</w:t>
      </w:r>
    </w:p>
    <w:p w14:paraId="10050792"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是一种由细菌侵入皮下组织和筋膜引起的急性坏死性软组织感染，伴有毒血症、败血症、中毒性休克、弥漫性血管内凝血或多器官衰竭。本病须经专科医生明确诊断，并且未达到本主险合同所指重大疾病“重症急性坏死性筋膜炎”的给付标准。</w:t>
      </w:r>
    </w:p>
    <w:p w14:paraId="2C001434"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轻度弥漫性硬化</w:t>
      </w:r>
    </w:p>
    <w:p w14:paraId="1A13D028" w14:textId="77777777" w:rsidR="008F265F" w:rsidRDefault="00A542E4">
      <w:pPr>
        <w:pStyle w:val="30"/>
        <w:numPr>
          <w:ilvl w:val="0"/>
          <w:numId w:val="0"/>
        </w:numPr>
        <w:spacing w:beforeLines="50" w:before="156"/>
        <w:ind w:firstLineChars="200" w:firstLine="420"/>
        <w:rPr>
          <w:b w:val="0"/>
          <w:bCs w:val="0"/>
        </w:rPr>
      </w:pPr>
      <w:r>
        <w:rPr>
          <w:rFonts w:hint="eastAsia"/>
          <w:b w:val="0"/>
          <w:bCs w:val="0"/>
        </w:rPr>
        <w:lastRenderedPageBreak/>
        <w:t>是一种罕见的、散发的脱髓鞘疾病。病理为大脑双侧半球白质大片脱髓鞘，以及一些小脱髓鞘病灶。脱髓鞘区轴索相对保留，在病灶中央区轴索可显著破坏。</w:t>
      </w:r>
    </w:p>
    <w:p w14:paraId="05254A07" w14:textId="56AB74FA" w:rsidR="008F265F" w:rsidRDefault="00A542E4">
      <w:pPr>
        <w:pStyle w:val="30"/>
        <w:numPr>
          <w:ilvl w:val="0"/>
          <w:numId w:val="0"/>
        </w:numPr>
        <w:spacing w:beforeLines="50" w:before="156"/>
        <w:ind w:firstLineChars="200" w:firstLine="420"/>
        <w:rPr>
          <w:b w:val="0"/>
          <w:bCs w:val="0"/>
        </w:rPr>
      </w:pPr>
      <w:r>
        <w:rPr>
          <w:rFonts w:hint="eastAsia"/>
          <w:b w:val="0"/>
          <w:bCs w:val="0"/>
        </w:rPr>
        <w:t>须经我们认可的医院的专科医生明确诊断，并且需满足自主生活能力严重丧失，无法独立完成六项基本日常生活活动中的两项。</w:t>
      </w:r>
      <w:r w:rsidR="006327D1">
        <w:rPr>
          <w:rFonts w:hint="eastAsia"/>
          <w:b w:val="0"/>
          <w:bCs w:val="0"/>
        </w:rPr>
        <w:t>并</w:t>
      </w:r>
      <w:r>
        <w:rPr>
          <w:rFonts w:hint="eastAsia"/>
          <w:b w:val="0"/>
          <w:bCs w:val="0"/>
        </w:rPr>
        <w:t>且未达到</w:t>
      </w:r>
      <w:r w:rsidR="006327D1" w:rsidRPr="006327D1">
        <w:rPr>
          <w:rFonts w:hint="eastAsia"/>
          <w:b w:val="0"/>
          <w:bCs w:val="0"/>
        </w:rPr>
        <w:t>本主险合同所指</w:t>
      </w:r>
      <w:r>
        <w:rPr>
          <w:rFonts w:hint="eastAsia"/>
          <w:b w:val="0"/>
          <w:bCs w:val="0"/>
        </w:rPr>
        <w:t>重大疾病“</w:t>
      </w:r>
      <w:r w:rsidR="00E76584">
        <w:rPr>
          <w:rFonts w:hint="eastAsia"/>
          <w:b w:val="0"/>
          <w:bCs w:val="0"/>
        </w:rPr>
        <w:t>严重</w:t>
      </w:r>
      <w:r>
        <w:rPr>
          <w:rFonts w:hint="eastAsia"/>
          <w:b w:val="0"/>
          <w:bCs w:val="0"/>
        </w:rPr>
        <w:t>弥漫性硬化”或“瘫痪”的给付标准。</w:t>
      </w:r>
    </w:p>
    <w:p w14:paraId="0295AA91"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b w:val="0"/>
        </w:rPr>
        <w:t>单耳失聪</w:t>
      </w:r>
      <w:r>
        <w:rPr>
          <w:rFonts w:hint="eastAsia"/>
          <w:b w:val="0"/>
        </w:rPr>
        <w:t>——</w:t>
      </w:r>
      <w:r w:rsidRPr="003B685F">
        <w:rPr>
          <w:rFonts w:hint="eastAsia"/>
          <w:b w:val="0"/>
          <w:shd w:val="pct15" w:color="auto" w:fill="FFFFFF"/>
        </w:rPr>
        <w:t>三周岁后始理赔</w:t>
      </w:r>
    </w:p>
    <w:p w14:paraId="42BD1CBF" w14:textId="77777777" w:rsidR="008F265F" w:rsidRDefault="00A542E4">
      <w:pPr>
        <w:pStyle w:val="30"/>
        <w:numPr>
          <w:ilvl w:val="0"/>
          <w:numId w:val="0"/>
        </w:numPr>
        <w:spacing w:beforeLines="50" w:before="156"/>
        <w:ind w:firstLineChars="200" w:firstLine="420"/>
        <w:rPr>
          <w:b w:val="0"/>
        </w:rPr>
      </w:pPr>
      <w:r>
        <w:rPr>
          <w:rFonts w:hint="eastAsia"/>
          <w:b w:val="0"/>
        </w:rPr>
        <w:t>指因疾病或者意外伤害导致单耳听力永久不可逆性丧失，在500赫兹、1000赫兹和2000赫兹语音频率下，平均听阈大于或等于91分贝，且经纯音听力测试、声导抗检测或者听觉诱发电位检测等证实。</w:t>
      </w:r>
    </w:p>
    <w:p w14:paraId="6C049B56"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被保险人申请理赔时年龄必须在三周岁以上，并且提供理赔当时的听力丧失诊断及检查证据。</w:t>
      </w:r>
    </w:p>
    <w:p w14:paraId="07C81BD2"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我们对“单耳失聪</w:t>
      </w:r>
      <w:r w:rsidRPr="003B685F">
        <w:rPr>
          <w:rFonts w:hint="eastAsia"/>
          <w:b w:val="0"/>
          <w:bCs w:val="0"/>
          <w:shd w:val="pct15" w:color="auto" w:fill="FFFFFF"/>
        </w:rPr>
        <w:t>——三周岁后始理赔</w:t>
      </w:r>
      <w:r w:rsidRPr="003B685F">
        <w:rPr>
          <w:rFonts w:hint="eastAsia"/>
          <w:b w:val="0"/>
          <w:shd w:val="pct15" w:color="auto" w:fill="FFFFFF"/>
        </w:rPr>
        <w:t>”、“中度听力受损</w:t>
      </w:r>
      <w:r w:rsidRPr="003B685F">
        <w:rPr>
          <w:rFonts w:hint="eastAsia"/>
          <w:b w:val="0"/>
          <w:bCs w:val="0"/>
          <w:shd w:val="pct15" w:color="auto" w:fill="FFFFFF"/>
        </w:rPr>
        <w:t>——三周岁后始理赔</w:t>
      </w:r>
      <w:r w:rsidRPr="003B685F">
        <w:rPr>
          <w:rFonts w:hint="eastAsia"/>
          <w:b w:val="0"/>
          <w:shd w:val="pct15" w:color="auto" w:fill="FFFFFF"/>
        </w:rPr>
        <w:t>”、“人工耳蜗植入术”三项中的其中一项承担保险责任，给付其中一项保险金后，对另两项轻症疾病保险责任同时终止。</w:t>
      </w:r>
    </w:p>
    <w:p w14:paraId="22DFF838"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中度听力受损——</w:t>
      </w:r>
      <w:r w:rsidRPr="003B685F">
        <w:rPr>
          <w:rFonts w:hint="eastAsia"/>
          <w:b w:val="0"/>
          <w:shd w:val="pct15" w:color="auto" w:fill="FFFFFF"/>
        </w:rPr>
        <w:t>三周岁后始理赔</w:t>
      </w:r>
    </w:p>
    <w:p w14:paraId="05424747" w14:textId="77777777" w:rsidR="008F265F" w:rsidRDefault="00A542E4">
      <w:pPr>
        <w:pStyle w:val="30"/>
        <w:numPr>
          <w:ilvl w:val="0"/>
          <w:numId w:val="0"/>
        </w:numPr>
        <w:spacing w:beforeLines="50" w:before="156"/>
        <w:ind w:firstLine="420"/>
        <w:rPr>
          <w:b w:val="0"/>
        </w:rPr>
      </w:pPr>
      <w:r>
        <w:rPr>
          <w:rFonts w:hint="eastAsia"/>
          <w:b w:val="0"/>
        </w:rPr>
        <w:t>指因疾病或意外伤害导致双耳听力永久不可逆性丧失，在500赫兹，1000赫兹和2000赫兹语音频率下，平均听阈大于80分贝。需有纯音听力测试、声导抗检测或听觉诱发电位检测等证实。</w:t>
      </w:r>
    </w:p>
    <w:p w14:paraId="5AB5147B"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被保险人申请理赔时年龄必须在三周岁以上，并且提供理赔当时的听力</w:t>
      </w:r>
      <w:r w:rsidRPr="003B685F">
        <w:rPr>
          <w:rFonts w:hint="eastAsia"/>
          <w:b w:val="0"/>
          <w:shd w:val="pct15" w:color="auto" w:fill="FFFFFF"/>
        </w:rPr>
        <w:lastRenderedPageBreak/>
        <w:t>丧失诊断及检查证据。</w:t>
      </w:r>
    </w:p>
    <w:p w14:paraId="6FDF9A88"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我们对“单耳失聪</w:t>
      </w:r>
      <w:r w:rsidRPr="003B685F">
        <w:rPr>
          <w:rFonts w:hint="eastAsia"/>
          <w:b w:val="0"/>
          <w:bCs w:val="0"/>
          <w:shd w:val="pct15" w:color="auto" w:fill="FFFFFF"/>
        </w:rPr>
        <w:t>——三周岁后始理赔</w:t>
      </w:r>
      <w:r w:rsidRPr="003B685F">
        <w:rPr>
          <w:rFonts w:hint="eastAsia"/>
          <w:b w:val="0"/>
          <w:shd w:val="pct15" w:color="auto" w:fill="FFFFFF"/>
        </w:rPr>
        <w:t>”、“中度听力受损</w:t>
      </w:r>
      <w:r w:rsidRPr="003B685F">
        <w:rPr>
          <w:rFonts w:hint="eastAsia"/>
          <w:b w:val="0"/>
          <w:bCs w:val="0"/>
          <w:shd w:val="pct15" w:color="auto" w:fill="FFFFFF"/>
        </w:rPr>
        <w:t>——三周岁后始理赔</w:t>
      </w:r>
      <w:r w:rsidRPr="003B685F">
        <w:rPr>
          <w:rFonts w:hint="eastAsia"/>
          <w:b w:val="0"/>
          <w:shd w:val="pct15" w:color="auto" w:fill="FFFFFF"/>
        </w:rPr>
        <w:t>”、“人工耳蜗植入术”三项中的其中一项承担保险责任，给付其中一项保险金后，对另两项轻症疾病保险责任同时终止。</w:t>
      </w:r>
    </w:p>
    <w:p w14:paraId="70384A2A"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人工耳蜗植入术</w:t>
      </w:r>
    </w:p>
    <w:p w14:paraId="3A8229B7" w14:textId="77777777" w:rsidR="008F265F" w:rsidRDefault="00A542E4">
      <w:pPr>
        <w:pStyle w:val="30"/>
        <w:numPr>
          <w:ilvl w:val="0"/>
          <w:numId w:val="0"/>
        </w:numPr>
        <w:spacing w:beforeLines="50" w:before="156"/>
        <w:ind w:firstLine="420"/>
        <w:rPr>
          <w:b w:val="0"/>
        </w:rPr>
      </w:pPr>
      <w:r>
        <w:rPr>
          <w:rFonts w:hint="eastAsia"/>
          <w:b w:val="0"/>
        </w:rPr>
        <w:t>指由于耳蜗的永久损害而实际实施了人工耳蜗植入手术。须经专科医师确认手术在医学上是必要的，且在植入手术之前已经符合下列全部条件：</w:t>
      </w:r>
    </w:p>
    <w:p w14:paraId="2E872015" w14:textId="77777777" w:rsidR="008F265F" w:rsidRDefault="00A542E4">
      <w:pPr>
        <w:pStyle w:val="30"/>
        <w:numPr>
          <w:ilvl w:val="0"/>
          <w:numId w:val="0"/>
        </w:numPr>
        <w:spacing w:beforeLines="0" w:before="0"/>
        <w:ind w:firstLine="420"/>
        <w:rPr>
          <w:b w:val="0"/>
        </w:rPr>
      </w:pPr>
      <w:r>
        <w:rPr>
          <w:b w:val="0"/>
        </w:rPr>
        <w:t>1.</w:t>
      </w:r>
      <w:r>
        <w:rPr>
          <w:rFonts w:hint="eastAsia"/>
          <w:b w:val="0"/>
        </w:rPr>
        <w:t>双耳持续</w:t>
      </w:r>
      <w:r>
        <w:rPr>
          <w:b w:val="0"/>
        </w:rPr>
        <w:t>12个月以上重度感音神经性耳聋；</w:t>
      </w:r>
    </w:p>
    <w:p w14:paraId="10E68DDD" w14:textId="77777777" w:rsidR="008F265F" w:rsidRDefault="00A542E4">
      <w:pPr>
        <w:pStyle w:val="30"/>
        <w:numPr>
          <w:ilvl w:val="0"/>
          <w:numId w:val="0"/>
        </w:numPr>
        <w:spacing w:beforeLines="0" w:before="0"/>
        <w:ind w:firstLine="420"/>
        <w:rPr>
          <w:b w:val="0"/>
        </w:rPr>
      </w:pPr>
      <w:r>
        <w:rPr>
          <w:rFonts w:hint="eastAsia"/>
          <w:b w:val="0"/>
        </w:rPr>
        <w:t>2</w:t>
      </w:r>
      <w:r>
        <w:rPr>
          <w:b w:val="0"/>
        </w:rPr>
        <w:t>.</w:t>
      </w:r>
      <w:r>
        <w:rPr>
          <w:rFonts w:hint="eastAsia"/>
          <w:b w:val="0"/>
        </w:rPr>
        <w:t>使用相应的听力辅助设备效果不佳。</w:t>
      </w:r>
    </w:p>
    <w:p w14:paraId="77DD0EA7"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我们对“单耳失聪</w:t>
      </w:r>
      <w:r w:rsidRPr="003B685F">
        <w:rPr>
          <w:rFonts w:hint="eastAsia"/>
          <w:b w:val="0"/>
          <w:bCs w:val="0"/>
          <w:shd w:val="pct15" w:color="auto" w:fill="FFFFFF"/>
        </w:rPr>
        <w:t>——三周岁后始理赔</w:t>
      </w:r>
      <w:r w:rsidRPr="003B685F">
        <w:rPr>
          <w:rFonts w:hint="eastAsia"/>
          <w:b w:val="0"/>
          <w:shd w:val="pct15" w:color="auto" w:fill="FFFFFF"/>
        </w:rPr>
        <w:t>”、“中度听力受损</w:t>
      </w:r>
      <w:r w:rsidRPr="003B685F">
        <w:rPr>
          <w:rFonts w:hint="eastAsia"/>
          <w:b w:val="0"/>
          <w:bCs w:val="0"/>
          <w:shd w:val="pct15" w:color="auto" w:fill="FFFFFF"/>
        </w:rPr>
        <w:t>——三周岁后始理赔</w:t>
      </w:r>
      <w:r w:rsidRPr="003B685F">
        <w:rPr>
          <w:rFonts w:hint="eastAsia"/>
          <w:b w:val="0"/>
          <w:shd w:val="pct15" w:color="auto" w:fill="FFFFFF"/>
        </w:rPr>
        <w:t>”、“人工耳蜗植入术”三项中的其中一项承担保险责任，给付其中一项保险金后，对另两项轻症疾病保险责任同时终止。</w:t>
      </w:r>
    </w:p>
    <w:p w14:paraId="768825C9"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轻度感染性心内膜炎</w:t>
      </w:r>
    </w:p>
    <w:p w14:paraId="601E7971" w14:textId="255ADD5B" w:rsidR="008F265F" w:rsidRDefault="00A542E4">
      <w:pPr>
        <w:pStyle w:val="30"/>
        <w:numPr>
          <w:ilvl w:val="0"/>
          <w:numId w:val="0"/>
        </w:numPr>
        <w:spacing w:beforeLines="50" w:before="156"/>
        <w:ind w:firstLine="420"/>
        <w:rPr>
          <w:b w:val="0"/>
        </w:rPr>
      </w:pPr>
      <w:r>
        <w:rPr>
          <w:rFonts w:hint="eastAsia"/>
          <w:b w:val="0"/>
        </w:rPr>
        <w:t>指因感染性微生物造成心脏内膜炎症，并且累及心脏瓣膜，导致心脏瓣膜病变，且未达到</w:t>
      </w:r>
      <w:r w:rsidR="00E76584">
        <w:rPr>
          <w:rFonts w:hint="eastAsia"/>
          <w:b w:val="0"/>
        </w:rPr>
        <w:t>本</w:t>
      </w:r>
      <w:r w:rsidR="006327D1">
        <w:rPr>
          <w:rFonts w:hint="eastAsia"/>
          <w:b w:val="0"/>
        </w:rPr>
        <w:t>主险</w:t>
      </w:r>
      <w:r w:rsidR="00E76584">
        <w:rPr>
          <w:rFonts w:hint="eastAsia"/>
          <w:b w:val="0"/>
        </w:rPr>
        <w:t>合同所指</w:t>
      </w:r>
      <w:r>
        <w:rPr>
          <w:rFonts w:hint="eastAsia"/>
          <w:b w:val="0"/>
        </w:rPr>
        <w:t>重大疾病“感染性心内膜炎”或“心脏瓣膜手术”的给付标准。必须满足下列条件：</w:t>
      </w:r>
    </w:p>
    <w:p w14:paraId="0C25D3C6" w14:textId="77777777" w:rsidR="008F265F" w:rsidRDefault="00A542E4">
      <w:pPr>
        <w:pStyle w:val="30"/>
        <w:numPr>
          <w:ilvl w:val="0"/>
          <w:numId w:val="0"/>
        </w:numPr>
        <w:spacing w:beforeLines="0" w:before="0"/>
        <w:ind w:firstLine="420"/>
        <w:rPr>
          <w:b w:val="0"/>
        </w:rPr>
      </w:pPr>
      <w:r>
        <w:rPr>
          <w:rFonts w:hint="eastAsia"/>
          <w:b w:val="0"/>
        </w:rPr>
        <w:t>1.急性或亚急性感染性心内膜炎的临床表现，合并轻度心脏瓣膜关闭不全（返流指数低于20%）或轻度心脏瓣膜狭窄（心瓣膜开口范围大于正常的30%）；</w:t>
      </w:r>
    </w:p>
    <w:p w14:paraId="2239FFBD" w14:textId="77777777" w:rsidR="008F265F" w:rsidRDefault="00A542E4">
      <w:pPr>
        <w:pStyle w:val="30"/>
        <w:numPr>
          <w:ilvl w:val="0"/>
          <w:numId w:val="0"/>
        </w:numPr>
        <w:spacing w:beforeLines="0" w:before="0"/>
        <w:ind w:firstLine="420"/>
        <w:rPr>
          <w:b w:val="0"/>
        </w:rPr>
      </w:pPr>
      <w:r>
        <w:rPr>
          <w:rFonts w:hint="eastAsia"/>
          <w:b w:val="0"/>
        </w:rPr>
        <w:t>2.血液培养测试结果为阳性，证实存在感染性微生物。</w:t>
      </w:r>
    </w:p>
    <w:p w14:paraId="2614C0F7" w14:textId="655B797A" w:rsidR="008F265F" w:rsidRPr="003B685F" w:rsidRDefault="00A542E4">
      <w:pPr>
        <w:pStyle w:val="30"/>
        <w:numPr>
          <w:ilvl w:val="0"/>
          <w:numId w:val="0"/>
        </w:numPr>
        <w:tabs>
          <w:tab w:val="clear" w:pos="420"/>
        </w:tabs>
        <w:spacing w:beforeLines="50" w:before="156"/>
        <w:ind w:firstLine="420"/>
        <w:rPr>
          <w:b w:val="0"/>
          <w:shd w:val="pct15" w:color="auto" w:fill="FFFFFF"/>
        </w:rPr>
      </w:pPr>
      <w:r w:rsidRPr="003B685F">
        <w:rPr>
          <w:rFonts w:hint="eastAsia"/>
          <w:b w:val="0"/>
          <w:shd w:val="pct15" w:color="auto" w:fill="FFFFFF"/>
        </w:rPr>
        <w:t>我们对“轻度感染性心内膜炎”和“心脏瓣膜介入手术”两项中的其中</w:t>
      </w:r>
      <w:r w:rsidRPr="003B685F">
        <w:rPr>
          <w:rFonts w:hint="eastAsia"/>
          <w:b w:val="0"/>
          <w:shd w:val="pct15" w:color="auto" w:fill="FFFFFF"/>
        </w:rPr>
        <w:lastRenderedPageBreak/>
        <w:t>一项承担保险责任，给付其中一项保险金后，对另一项轻</w:t>
      </w:r>
      <w:r w:rsidR="00F42F0D">
        <w:rPr>
          <w:rFonts w:hint="eastAsia"/>
          <w:b w:val="0"/>
          <w:shd w:val="pct15" w:color="auto" w:fill="FFFFFF"/>
        </w:rPr>
        <w:t>症</w:t>
      </w:r>
      <w:r w:rsidRPr="003B685F">
        <w:rPr>
          <w:rFonts w:hint="eastAsia"/>
          <w:b w:val="0"/>
          <w:shd w:val="pct15" w:color="auto" w:fill="FFFFFF"/>
        </w:rPr>
        <w:t>疾病保险责任同时终止。</w:t>
      </w:r>
    </w:p>
    <w:p w14:paraId="053B8C44"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继发性肺动脉高压</w:t>
      </w:r>
    </w:p>
    <w:p w14:paraId="5880B996" w14:textId="77777777" w:rsidR="008F265F" w:rsidRDefault="00A542E4">
      <w:pPr>
        <w:pStyle w:val="30"/>
        <w:numPr>
          <w:ilvl w:val="0"/>
          <w:numId w:val="0"/>
        </w:numPr>
        <w:tabs>
          <w:tab w:val="clear" w:pos="420"/>
        </w:tabs>
        <w:spacing w:beforeLines="50" w:before="156"/>
        <w:ind w:firstLine="420"/>
        <w:rPr>
          <w:rFonts w:asciiTheme="minorEastAsia" w:eastAsiaTheme="minorEastAsia" w:hAnsiTheme="minorEastAsia"/>
          <w:b w:val="0"/>
        </w:rPr>
      </w:pPr>
      <w:r>
        <w:rPr>
          <w:rFonts w:asciiTheme="minorEastAsia" w:eastAsiaTheme="minorEastAsia" w:hAnsiTheme="minorEastAsia" w:hint="eastAsia"/>
          <w:b w:val="0"/>
        </w:rPr>
        <w:t>指继发性肺动脉压力持续增高，导致右心室肥厚，已经造成永久不可逆性的体力活动能力受限，达到美国纽约心脏病学会心功能状态分级Ⅲ级，由我们认可的医院的心脏科专科医生确诊，并且心导管检查报告显示静息状态下肺动脉平均压超过25mmHg。</w:t>
      </w:r>
    </w:p>
    <w:p w14:paraId="5D5C81C3" w14:textId="77777777" w:rsidR="008F265F" w:rsidRDefault="00A542E4">
      <w:pPr>
        <w:pStyle w:val="30"/>
        <w:numPr>
          <w:ilvl w:val="0"/>
          <w:numId w:val="2"/>
        </w:numPr>
        <w:tabs>
          <w:tab w:val="clear" w:pos="420"/>
          <w:tab w:val="clear" w:pos="562"/>
        </w:tabs>
        <w:spacing w:beforeLines="50" w:before="156"/>
        <w:ind w:leftChars="202" w:left="1274" w:hangingChars="405" w:hanging="850"/>
        <w:rPr>
          <w:b w:val="0"/>
        </w:rPr>
      </w:pPr>
      <w:r>
        <w:rPr>
          <w:rFonts w:hint="eastAsia"/>
          <w:b w:val="0"/>
        </w:rPr>
        <w:t>严重阻塞性睡眠呼吸暂停综合征</w:t>
      </w:r>
    </w:p>
    <w:p w14:paraId="40EB009D" w14:textId="77777777" w:rsidR="008F265F" w:rsidRDefault="00A542E4">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须由相关医学范畴的注册专科医生，经多导睡眠监测仪检查明确诊断为严重阻塞性睡眠呼吸暂停综合征(OSA)，并必须符合以下两项条件：</w:t>
      </w:r>
    </w:p>
    <w:p w14:paraId="12835AA9" w14:textId="77777777" w:rsidR="008F265F" w:rsidRDefault="00A542E4">
      <w:pPr>
        <w:pStyle w:val="30"/>
        <w:numPr>
          <w:ilvl w:val="0"/>
          <w:numId w:val="0"/>
        </w:numPr>
        <w:spacing w:beforeLines="0" w:before="0"/>
        <w:ind w:firstLine="420"/>
        <w:rPr>
          <w:rFonts w:asciiTheme="minorEastAsia" w:eastAsiaTheme="minorEastAsia" w:hAnsiTheme="minorEastAsia"/>
          <w:b w:val="0"/>
        </w:rPr>
      </w:pPr>
      <w:r>
        <w:rPr>
          <w:rFonts w:asciiTheme="minorEastAsia" w:eastAsiaTheme="minorEastAsia" w:hAnsiTheme="minorEastAsia"/>
          <w:b w:val="0"/>
        </w:rPr>
        <w:t>1.</w:t>
      </w:r>
      <w:r>
        <w:rPr>
          <w:rFonts w:asciiTheme="minorEastAsia" w:eastAsiaTheme="minorEastAsia" w:hAnsiTheme="minorEastAsia" w:hint="eastAsia"/>
          <w:b w:val="0"/>
        </w:rPr>
        <w:t>被保险人必须现正接受持续气道正压呼吸器(CPAP)之夜间治疗；</w:t>
      </w:r>
    </w:p>
    <w:p w14:paraId="5439ADC8" w14:textId="77777777" w:rsidR="008F265F" w:rsidRDefault="00A542E4">
      <w:pPr>
        <w:pStyle w:val="30"/>
        <w:numPr>
          <w:ilvl w:val="0"/>
          <w:numId w:val="0"/>
        </w:numPr>
        <w:spacing w:beforeLines="0" w:before="0"/>
        <w:ind w:firstLine="420"/>
        <w:rPr>
          <w:rFonts w:asciiTheme="minorEastAsia" w:eastAsiaTheme="minorEastAsia" w:hAnsiTheme="minorEastAsia"/>
          <w:b w:val="0"/>
        </w:rPr>
      </w:pPr>
      <w:r>
        <w:rPr>
          <w:rFonts w:asciiTheme="minorEastAsia" w:eastAsiaTheme="minorEastAsia" w:hAnsiTheme="minorEastAsia"/>
          <w:b w:val="0"/>
        </w:rPr>
        <w:t>2.</w:t>
      </w:r>
      <w:r>
        <w:rPr>
          <w:rFonts w:asciiTheme="minorEastAsia" w:eastAsiaTheme="minorEastAsia" w:hAnsiTheme="minorEastAsia" w:hint="eastAsia"/>
          <w:b w:val="0"/>
        </w:rPr>
        <w:t>必须提供睡眠测试的文件证明，显示呼吸暂停低通气指数（AHI）</w:t>
      </w:r>
      <w:r>
        <w:rPr>
          <w:rFonts w:asciiTheme="minorEastAsia" w:eastAsiaTheme="minorEastAsia" w:hAnsiTheme="minorEastAsia"/>
          <w:b w:val="0"/>
        </w:rPr>
        <w:t>＞</w:t>
      </w:r>
      <w:r>
        <w:rPr>
          <w:rFonts w:asciiTheme="minorEastAsia" w:eastAsiaTheme="minorEastAsia" w:hAnsiTheme="minorEastAsia" w:hint="eastAsia"/>
          <w:b w:val="0"/>
        </w:rPr>
        <w:t>30及夜间血氧饱和度平均值持续＜85%。</w:t>
      </w:r>
    </w:p>
    <w:p w14:paraId="43CCA7D3"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永久性心脏除颤器植入</w:t>
      </w:r>
    </w:p>
    <w:p w14:paraId="1D4F1F26" w14:textId="77777777" w:rsidR="008F265F" w:rsidRDefault="00A542E4">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因严重心律失常而于心腔内进行植入永久性心脏除颤器的手术，此严重心律失常并不能以其他方法治疗，必须由相关专科医生确认植入心脏除颤器为医疗所需。</w:t>
      </w:r>
    </w:p>
    <w:p w14:paraId="7F6AB1F1" w14:textId="77777777" w:rsidR="008F265F" w:rsidRDefault="00A542E4">
      <w:pPr>
        <w:pStyle w:val="30"/>
        <w:numPr>
          <w:ilvl w:val="0"/>
          <w:numId w:val="0"/>
        </w:numPr>
        <w:tabs>
          <w:tab w:val="clear" w:pos="420"/>
        </w:tabs>
        <w:spacing w:beforeLines="50" w:before="156"/>
        <w:ind w:firstLineChars="200" w:firstLine="420"/>
        <w:rPr>
          <w:rFonts w:asciiTheme="minorEastAsia" w:eastAsiaTheme="minorEastAsia" w:hAnsiTheme="minorEastAsia"/>
          <w:b w:val="0"/>
          <w:shd w:val="pct10" w:color="auto" w:fill="FFFFFF"/>
        </w:rPr>
      </w:pPr>
      <w:r w:rsidRPr="003B685F">
        <w:rPr>
          <w:rFonts w:asciiTheme="minorEastAsia" w:eastAsiaTheme="minorEastAsia" w:hAnsiTheme="minorEastAsia" w:hint="eastAsia"/>
          <w:b w:val="0"/>
          <w:shd w:val="pct15" w:color="auto" w:fill="FFFFFF"/>
        </w:rPr>
        <w:t>体外心脏电复律（心脏电除颤</w:t>
      </w:r>
      <w:r w:rsidRPr="003B685F">
        <w:rPr>
          <w:rFonts w:asciiTheme="minorEastAsia" w:eastAsiaTheme="minorEastAsia" w:hAnsiTheme="minorEastAsia"/>
          <w:b w:val="0"/>
          <w:shd w:val="pct15" w:color="auto" w:fill="FFFFFF"/>
        </w:rPr>
        <w:t>)、临时性埋藏式心脏复律除颤器安装除外。</w:t>
      </w:r>
    </w:p>
    <w:p w14:paraId="3B397325"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早期肝硬化</w:t>
      </w:r>
    </w:p>
    <w:p w14:paraId="26033161" w14:textId="77777777" w:rsidR="008F265F" w:rsidRDefault="00A542E4">
      <w:pPr>
        <w:spacing w:beforeLines="50" w:before="156"/>
        <w:ind w:firstLineChars="200" w:firstLine="420"/>
        <w:rPr>
          <w:rFonts w:asciiTheme="minorEastAsia" w:eastAsiaTheme="minorEastAsia" w:hAnsiTheme="minorEastAsia"/>
        </w:rPr>
      </w:pPr>
      <w:r>
        <w:rPr>
          <w:rFonts w:asciiTheme="minorEastAsia" w:eastAsiaTheme="minorEastAsia" w:hAnsiTheme="minorEastAsia" w:hint="eastAsia"/>
        </w:rPr>
        <w:t>肝硬化须由专科医生明确诊断。必须由活检证实有再生的肝细胞结节和</w:t>
      </w:r>
      <w:r>
        <w:rPr>
          <w:rFonts w:asciiTheme="minorEastAsia" w:eastAsiaTheme="minorEastAsia" w:hAnsiTheme="minorEastAsia" w:hint="eastAsia"/>
        </w:rPr>
        <w:lastRenderedPageBreak/>
        <w:t>典型的肝组织纤维化。下列条件必须全部满足并至少持续一年：</w:t>
      </w:r>
    </w:p>
    <w:p w14:paraId="638A0F08" w14:textId="77777777" w:rsidR="008F265F" w:rsidRDefault="00A542E4">
      <w:pPr>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持续性黄疸，胆红素水平升高超过50</w:t>
      </w:r>
      <w:r>
        <w:rPr>
          <w:rFonts w:asciiTheme="minorEastAsia" w:eastAsiaTheme="minorEastAsia" w:hAnsiTheme="minorEastAsia"/>
          <w:snapToGrid w:val="0"/>
        </w:rPr>
        <w:t>µmol</w:t>
      </w:r>
      <w:r>
        <w:rPr>
          <w:rFonts w:asciiTheme="minorEastAsia" w:eastAsiaTheme="minorEastAsia" w:hAnsiTheme="minorEastAsia" w:hint="eastAsia"/>
        </w:rPr>
        <w:t>/L；</w:t>
      </w:r>
    </w:p>
    <w:p w14:paraId="426F99F8" w14:textId="77777777" w:rsidR="008F265F" w:rsidRDefault="00A542E4">
      <w:pPr>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蛋白质合成异常，白蛋白水平低于27g/L；</w:t>
      </w:r>
    </w:p>
    <w:p w14:paraId="4E72A6CB" w14:textId="77777777" w:rsidR="008F265F" w:rsidRDefault="00A542E4">
      <w:pPr>
        <w:ind w:firstLineChars="200" w:firstLine="42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异常凝血功能，凝血酶原时间超过正常上限的2倍或以上，或者国际正常化比率（INR）在2.0以上。</w:t>
      </w:r>
    </w:p>
    <w:p w14:paraId="1F75A293" w14:textId="77777777" w:rsidR="008F265F" w:rsidRPr="003B685F" w:rsidRDefault="00A542E4">
      <w:pPr>
        <w:spacing w:beforeLines="50" w:before="156"/>
        <w:ind w:firstLineChars="200" w:firstLine="420"/>
        <w:rPr>
          <w:rFonts w:asciiTheme="minorEastAsia" w:eastAsiaTheme="minorEastAsia" w:hAnsiTheme="minorEastAsia"/>
          <w:shd w:val="pct15" w:color="auto" w:fill="FFFFFF"/>
        </w:rPr>
      </w:pPr>
      <w:r w:rsidRPr="003B685F">
        <w:rPr>
          <w:rFonts w:asciiTheme="minorEastAsia" w:eastAsiaTheme="minorEastAsia" w:hAnsiTheme="minorEastAsia" w:hint="eastAsia"/>
          <w:shd w:val="pct15" w:color="auto" w:fill="FFFFFF"/>
        </w:rPr>
        <w:t>我们对“病毒性肝炎导致的肝硬化”、“慢性肝功能衰竭”、“早期肝硬化”和“慢性肝衰竭代偿早期”四项中的其中一项承担保险责任，给付其中一项保险金后，对另三项轻症疾病保险责任同时终止。</w:t>
      </w:r>
    </w:p>
    <w:p w14:paraId="7EEA994C"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慢性肝衰竭代偿早期</w:t>
      </w:r>
    </w:p>
    <w:p w14:paraId="0907E5C9" w14:textId="77777777" w:rsidR="008F265F" w:rsidRDefault="00A542E4">
      <w:pPr>
        <w:pStyle w:val="30"/>
        <w:numPr>
          <w:ilvl w:val="0"/>
          <w:numId w:val="0"/>
        </w:numPr>
        <w:spacing w:beforeLines="50" w:before="156"/>
        <w:ind w:left="420"/>
        <w:rPr>
          <w:rFonts w:asciiTheme="minorEastAsia" w:eastAsiaTheme="minorEastAsia" w:hAnsiTheme="minorEastAsia"/>
          <w:b w:val="0"/>
        </w:rPr>
      </w:pPr>
      <w:r>
        <w:rPr>
          <w:rFonts w:asciiTheme="minorEastAsia" w:eastAsiaTheme="minorEastAsia" w:hAnsiTheme="minorEastAsia" w:hint="eastAsia"/>
          <w:b w:val="0"/>
        </w:rPr>
        <w:t>指因慢性肝脏疾病导致持续180天肝衰竭，须满足下列全部条件：</w:t>
      </w:r>
    </w:p>
    <w:p w14:paraId="0F06F629"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1.</w:t>
      </w:r>
      <w:r>
        <w:rPr>
          <w:rFonts w:asciiTheme="minorEastAsia" w:eastAsiaTheme="minorEastAsia" w:hAnsiTheme="minorEastAsia" w:hint="eastAsia"/>
          <w:b w:val="0"/>
        </w:rPr>
        <w:t>持续性黄疸，胆红素</w:t>
      </w:r>
      <w:r>
        <w:rPr>
          <w:rFonts w:asciiTheme="minorEastAsia" w:eastAsiaTheme="minorEastAsia" w:hAnsiTheme="minorEastAsia"/>
          <w:b w:val="0"/>
        </w:rPr>
        <w:t>＞</w:t>
      </w:r>
      <w:r>
        <w:rPr>
          <w:rFonts w:asciiTheme="minorEastAsia" w:eastAsiaTheme="minorEastAsia" w:hAnsiTheme="minorEastAsia" w:hint="eastAsia"/>
          <w:b w:val="0"/>
        </w:rPr>
        <w:t>50µ</w:t>
      </w:r>
      <w:r>
        <w:rPr>
          <w:rFonts w:asciiTheme="minorEastAsia" w:eastAsiaTheme="minorEastAsia" w:hAnsiTheme="minorEastAsia"/>
          <w:b w:val="0"/>
        </w:rPr>
        <w:t>mol</w:t>
      </w:r>
      <w:r>
        <w:rPr>
          <w:rFonts w:asciiTheme="minorEastAsia" w:eastAsiaTheme="minorEastAsia" w:hAnsiTheme="minorEastAsia" w:hint="eastAsia"/>
          <w:b w:val="0"/>
        </w:rPr>
        <w:t>/L；</w:t>
      </w:r>
    </w:p>
    <w:p w14:paraId="191E47D5"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2.</w:t>
      </w:r>
      <w:r>
        <w:rPr>
          <w:rFonts w:asciiTheme="minorEastAsia" w:eastAsiaTheme="minorEastAsia" w:hAnsiTheme="minorEastAsia" w:hint="eastAsia"/>
          <w:b w:val="0"/>
        </w:rPr>
        <w:t>白蛋白＜27g/L；</w:t>
      </w:r>
    </w:p>
    <w:p w14:paraId="39B66E0D"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3</w:t>
      </w:r>
      <w:r>
        <w:rPr>
          <w:rFonts w:asciiTheme="minorEastAsia" w:eastAsiaTheme="minorEastAsia" w:hAnsiTheme="minorEastAsia"/>
          <w:b w:val="0"/>
        </w:rPr>
        <w:t>.</w:t>
      </w:r>
      <w:r>
        <w:rPr>
          <w:rFonts w:asciiTheme="minorEastAsia" w:eastAsiaTheme="minorEastAsia" w:hAnsiTheme="minorEastAsia" w:hint="eastAsia"/>
          <w:b w:val="0"/>
        </w:rPr>
        <w:t>凝血酶原时间延长</w:t>
      </w:r>
      <w:r>
        <w:rPr>
          <w:rFonts w:asciiTheme="minorEastAsia" w:eastAsiaTheme="minorEastAsia" w:hAnsiTheme="minorEastAsia"/>
          <w:b w:val="0"/>
        </w:rPr>
        <w:t>＞</w:t>
      </w:r>
      <w:r>
        <w:rPr>
          <w:rFonts w:asciiTheme="minorEastAsia" w:eastAsiaTheme="minorEastAsia" w:hAnsiTheme="minorEastAsia" w:hint="eastAsia"/>
          <w:b w:val="0"/>
        </w:rPr>
        <w:t>4秒；</w:t>
      </w:r>
    </w:p>
    <w:p w14:paraId="26A8C0FD" w14:textId="77777777" w:rsidR="008F265F" w:rsidRPr="003B685F" w:rsidRDefault="00A542E4">
      <w:pPr>
        <w:pStyle w:val="30"/>
        <w:numPr>
          <w:ilvl w:val="0"/>
          <w:numId w:val="0"/>
        </w:numPr>
        <w:spacing w:beforeLines="50" w:before="156"/>
        <w:ind w:left="420"/>
        <w:rPr>
          <w:rFonts w:asciiTheme="minorEastAsia" w:eastAsiaTheme="minorEastAsia" w:hAnsiTheme="minorEastAsia"/>
          <w:b w:val="0"/>
          <w:shd w:val="pct15" w:color="auto" w:fill="FFFFFF"/>
        </w:rPr>
      </w:pPr>
      <w:r w:rsidRPr="003B685F">
        <w:rPr>
          <w:rFonts w:asciiTheme="minorEastAsia" w:eastAsiaTheme="minorEastAsia" w:hAnsiTheme="minorEastAsia" w:hint="eastAsia"/>
          <w:b w:val="0"/>
          <w:shd w:val="pct15" w:color="auto" w:fill="FFFFFF"/>
        </w:rPr>
        <w:t>因酗酒或药物滥用或肝硬化导致的肝功能衰竭不在保障范围内。</w:t>
      </w:r>
    </w:p>
    <w:p w14:paraId="330082B4" w14:textId="77777777" w:rsidR="008F265F" w:rsidRPr="003B685F" w:rsidRDefault="00A542E4">
      <w:pPr>
        <w:pStyle w:val="30"/>
        <w:numPr>
          <w:ilvl w:val="0"/>
          <w:numId w:val="0"/>
        </w:numPr>
        <w:tabs>
          <w:tab w:val="clear" w:pos="420"/>
        </w:tabs>
        <w:spacing w:beforeLines="50" w:before="156"/>
        <w:ind w:firstLine="420"/>
        <w:rPr>
          <w:rFonts w:asciiTheme="minorEastAsia" w:eastAsiaTheme="minorEastAsia" w:hAnsiTheme="minorEastAsia"/>
          <w:b w:val="0"/>
          <w:shd w:val="pct15" w:color="auto" w:fill="FFFFFF"/>
        </w:rPr>
      </w:pPr>
      <w:r w:rsidRPr="003B685F">
        <w:rPr>
          <w:rFonts w:asciiTheme="minorEastAsia" w:eastAsiaTheme="minorEastAsia" w:hAnsiTheme="minorEastAsia" w:hint="eastAsia"/>
          <w:b w:val="0"/>
          <w:shd w:val="pct15" w:color="auto" w:fill="FFFFFF"/>
        </w:rPr>
        <w:t>我们对“病毒性肝炎导致的肝硬化”、“慢性肝功能衰竭”、“早期肝硬化”和“慢性肝衰竭代偿早期”四项中的其中一项承担保险责任，给付其中一项保险金后，对另三项轻症疾病保险责任同时终止。</w:t>
      </w:r>
    </w:p>
    <w:p w14:paraId="35A2F03C"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慢性阻塞性肺病</w:t>
      </w:r>
    </w:p>
    <w:p w14:paraId="46E6F428" w14:textId="77777777" w:rsidR="008F265F" w:rsidRDefault="00A542E4">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指因一种具有气流阻塞特征的慢性支气管炎和（或）肺气肿，必须由呼吸系统科的专科医生确诊，且诊断必须满足以下所有条件：</w:t>
      </w:r>
    </w:p>
    <w:p w14:paraId="25316B83"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1</w:t>
      </w:r>
      <w:r>
        <w:rPr>
          <w:rFonts w:asciiTheme="minorEastAsia" w:eastAsiaTheme="minorEastAsia" w:hAnsiTheme="minorEastAsia"/>
          <w:b w:val="0"/>
        </w:rPr>
        <w:t>.</w:t>
      </w:r>
      <w:r>
        <w:rPr>
          <w:rFonts w:asciiTheme="minorEastAsia" w:eastAsiaTheme="minorEastAsia" w:hAnsiTheme="minorEastAsia" w:hint="eastAsia"/>
          <w:b w:val="0"/>
        </w:rPr>
        <w:t>第一秒末用力呼吸量（FEV1）小于1升；</w:t>
      </w:r>
    </w:p>
    <w:p w14:paraId="73F65747"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lastRenderedPageBreak/>
        <w:t>2</w:t>
      </w:r>
      <w:r>
        <w:rPr>
          <w:rFonts w:asciiTheme="minorEastAsia" w:eastAsiaTheme="minorEastAsia" w:hAnsiTheme="minorEastAsia"/>
          <w:b w:val="0"/>
        </w:rPr>
        <w:t>.</w:t>
      </w:r>
      <w:r>
        <w:rPr>
          <w:rFonts w:asciiTheme="minorEastAsia" w:eastAsiaTheme="minorEastAsia" w:hAnsiTheme="minorEastAsia" w:hint="eastAsia"/>
          <w:b w:val="0"/>
        </w:rPr>
        <w:t>COPD肺功能分级Ⅲ级，即30%＜F</w:t>
      </w:r>
      <w:r>
        <w:rPr>
          <w:rFonts w:asciiTheme="minorEastAsia" w:eastAsiaTheme="minorEastAsia" w:hAnsiTheme="minorEastAsia"/>
          <w:b w:val="0"/>
        </w:rPr>
        <w:t>E</w:t>
      </w:r>
      <w:r>
        <w:rPr>
          <w:rFonts w:asciiTheme="minorEastAsia" w:eastAsiaTheme="minorEastAsia" w:hAnsiTheme="minorEastAsia" w:hint="eastAsia"/>
          <w:b w:val="0"/>
        </w:rPr>
        <w:t>V1＜50%；</w:t>
      </w:r>
    </w:p>
    <w:p w14:paraId="4C7F4510"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3</w:t>
      </w:r>
      <w:r>
        <w:rPr>
          <w:rFonts w:asciiTheme="minorEastAsia" w:eastAsiaTheme="minorEastAsia" w:hAnsiTheme="minorEastAsia"/>
          <w:b w:val="0"/>
        </w:rPr>
        <w:t>.</w:t>
      </w:r>
      <w:r>
        <w:rPr>
          <w:rFonts w:asciiTheme="minorEastAsia" w:eastAsiaTheme="minorEastAsia" w:hAnsiTheme="minorEastAsia" w:hint="eastAsia"/>
          <w:b w:val="0"/>
        </w:rPr>
        <w:t>残气容积占肺总量（TLC）的50%以上；</w:t>
      </w:r>
    </w:p>
    <w:p w14:paraId="498963D5" w14:textId="77777777" w:rsidR="008F265F" w:rsidRDefault="00A542E4">
      <w:pPr>
        <w:pStyle w:val="30"/>
        <w:numPr>
          <w:ilvl w:val="0"/>
          <w:numId w:val="0"/>
        </w:numPr>
        <w:tabs>
          <w:tab w:val="clear" w:pos="420"/>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4.</w:t>
      </w:r>
      <w:r>
        <w:rPr>
          <w:rFonts w:hint="eastAsia"/>
          <w:b w:val="0"/>
          <w:bCs w:val="0"/>
        </w:rPr>
        <w:t>PaO</w:t>
      </w:r>
      <w:r>
        <w:rPr>
          <w:b w:val="0"/>
          <w:bCs w:val="0"/>
          <w:vertAlign w:val="subscript"/>
        </w:rPr>
        <w:t>2</w:t>
      </w:r>
      <w:r>
        <w:rPr>
          <w:rFonts w:asciiTheme="minorEastAsia" w:eastAsiaTheme="minorEastAsia" w:hAnsiTheme="minorEastAsia" w:hint="eastAsia"/>
          <w:b w:val="0"/>
        </w:rPr>
        <w:t>＜60mmHg，</w:t>
      </w:r>
      <w:r>
        <w:rPr>
          <w:rFonts w:hint="eastAsia"/>
          <w:b w:val="0"/>
          <w:bCs w:val="0"/>
        </w:rPr>
        <w:t>Pa</w:t>
      </w:r>
      <w:r>
        <w:rPr>
          <w:b w:val="0"/>
          <w:bCs w:val="0"/>
        </w:rPr>
        <w:t>C</w:t>
      </w:r>
      <w:r>
        <w:rPr>
          <w:rFonts w:hint="eastAsia"/>
          <w:b w:val="0"/>
          <w:bCs w:val="0"/>
        </w:rPr>
        <w:t>O</w:t>
      </w:r>
      <w:r>
        <w:rPr>
          <w:b w:val="0"/>
          <w:bCs w:val="0"/>
          <w:vertAlign w:val="subscript"/>
        </w:rPr>
        <w:t>2</w:t>
      </w:r>
      <w:r>
        <w:rPr>
          <w:rFonts w:asciiTheme="minorEastAsia" w:eastAsiaTheme="minorEastAsia" w:hAnsiTheme="minorEastAsia" w:hint="eastAsia"/>
          <w:b w:val="0"/>
        </w:rPr>
        <w:t>＞50mmHg。</w:t>
      </w:r>
    </w:p>
    <w:p w14:paraId="36C7C73C"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中度再生障碍性贫血</w:t>
      </w:r>
    </w:p>
    <w:p w14:paraId="29330F02" w14:textId="77777777" w:rsidR="008F265F" w:rsidRDefault="00A542E4">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 xml:space="preserve">指因急性可逆性的骨髓造血功能衰竭而导致贫血、中性粒细胞减少和血小板减少，必须由血液科医生的诊断，实际接受了下列任一治疗，且未达到“重型再生障碍性贫血”的给付标准：                                                                                 </w:t>
      </w:r>
    </w:p>
    <w:p w14:paraId="26D37AC6" w14:textId="77777777" w:rsidR="008F265F" w:rsidRDefault="00A542E4">
      <w:pPr>
        <w:pStyle w:val="30"/>
        <w:numPr>
          <w:ilvl w:val="0"/>
          <w:numId w:val="0"/>
        </w:numPr>
        <w:spacing w:beforeLines="0" w:before="0"/>
        <w:ind w:left="420" w:hanging="420"/>
        <w:rPr>
          <w:rFonts w:asciiTheme="minorEastAsia" w:eastAsiaTheme="minorEastAsia" w:hAnsiTheme="minorEastAsia"/>
          <w:b w:val="0"/>
        </w:rPr>
      </w:pPr>
      <w:r>
        <w:rPr>
          <w:rFonts w:asciiTheme="minorEastAsia" w:eastAsiaTheme="minorEastAsia" w:hAnsiTheme="minorEastAsia"/>
          <w:b w:val="0"/>
        </w:rPr>
        <w:tab/>
        <w:t>1.</w:t>
      </w:r>
      <w:r>
        <w:rPr>
          <w:rFonts w:asciiTheme="minorEastAsia" w:eastAsiaTheme="minorEastAsia" w:hAnsiTheme="minorEastAsia" w:hint="eastAsia"/>
          <w:b w:val="0"/>
        </w:rPr>
        <w:t>已接受至少累计三十日的骨髓刺激疗法；</w:t>
      </w:r>
    </w:p>
    <w:p w14:paraId="1A19B681" w14:textId="77777777" w:rsidR="008F265F" w:rsidRDefault="00A542E4">
      <w:pPr>
        <w:pStyle w:val="30"/>
        <w:numPr>
          <w:ilvl w:val="0"/>
          <w:numId w:val="0"/>
        </w:numPr>
        <w:spacing w:beforeLines="0" w:before="0"/>
        <w:ind w:left="420" w:hanging="420"/>
        <w:rPr>
          <w:rFonts w:asciiTheme="minorEastAsia" w:eastAsiaTheme="minorEastAsia" w:hAnsiTheme="minorEastAsia"/>
          <w:b w:val="0"/>
        </w:rPr>
      </w:pPr>
      <w:r>
        <w:rPr>
          <w:rFonts w:asciiTheme="minorEastAsia" w:eastAsiaTheme="minorEastAsia" w:hAnsiTheme="minorEastAsia"/>
          <w:b w:val="0"/>
        </w:rPr>
        <w:tab/>
        <w:t>2.</w:t>
      </w:r>
      <w:r>
        <w:rPr>
          <w:rFonts w:asciiTheme="minorEastAsia" w:eastAsiaTheme="minorEastAsia" w:hAnsiTheme="minorEastAsia" w:hint="eastAsia"/>
          <w:b w:val="0"/>
        </w:rPr>
        <w:t>已接受至少累计三十日的免疫抑制剂治疗；</w:t>
      </w:r>
    </w:p>
    <w:p w14:paraId="677B2BA8" w14:textId="77777777" w:rsidR="008F265F" w:rsidRDefault="00A542E4">
      <w:pPr>
        <w:pStyle w:val="30"/>
        <w:numPr>
          <w:ilvl w:val="0"/>
          <w:numId w:val="0"/>
        </w:numPr>
        <w:spacing w:beforeLines="0" w:before="0"/>
        <w:ind w:left="420" w:hanging="420"/>
        <w:rPr>
          <w:rFonts w:asciiTheme="minorEastAsia" w:eastAsiaTheme="minorEastAsia" w:hAnsiTheme="minorEastAsia"/>
          <w:b w:val="0"/>
        </w:rPr>
      </w:pPr>
      <w:r>
        <w:rPr>
          <w:rFonts w:asciiTheme="minorEastAsia" w:eastAsiaTheme="minorEastAsia" w:hAnsiTheme="minorEastAsia"/>
          <w:b w:val="0"/>
        </w:rPr>
        <w:tab/>
        <w:t>3.</w:t>
      </w:r>
      <w:r>
        <w:rPr>
          <w:rFonts w:asciiTheme="minorEastAsia" w:eastAsiaTheme="minorEastAsia" w:hAnsiTheme="minorEastAsia" w:hint="eastAsia"/>
          <w:b w:val="0"/>
        </w:rPr>
        <w:t>接受了骨髓移植。</w:t>
      </w:r>
    </w:p>
    <w:p w14:paraId="7B46C018"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外伤性颅内血肿清除术</w:t>
      </w:r>
    </w:p>
    <w:p w14:paraId="6444406B" w14:textId="77777777" w:rsidR="008F265F" w:rsidRDefault="00A542E4">
      <w:pPr>
        <w:pStyle w:val="30"/>
        <w:numPr>
          <w:ilvl w:val="0"/>
          <w:numId w:val="0"/>
        </w:numPr>
        <w:tabs>
          <w:tab w:val="clear" w:pos="420"/>
        </w:tabs>
        <w:spacing w:beforeLines="50" w:before="156"/>
        <w:ind w:firstLine="420"/>
        <w:rPr>
          <w:rFonts w:asciiTheme="minorEastAsia" w:eastAsiaTheme="minorEastAsia" w:hAnsiTheme="minorEastAsia"/>
          <w:b w:val="0"/>
        </w:rPr>
      </w:pPr>
      <w:r>
        <w:rPr>
          <w:rFonts w:asciiTheme="minorEastAsia" w:eastAsiaTheme="minorEastAsia" w:hAnsiTheme="minorEastAsia" w:hint="eastAsia"/>
          <w:b w:val="0"/>
        </w:rPr>
        <w:t>指因外伤引起的急性硬膜下血肿、急性硬膜外血肿或急性脑内血肿，已经实施了颅骨钻孔血肿清除手术。</w:t>
      </w:r>
    </w:p>
    <w:p w14:paraId="296831B3" w14:textId="77777777" w:rsidR="008F265F" w:rsidRPr="003B685F" w:rsidRDefault="00A542E4">
      <w:pPr>
        <w:pStyle w:val="30"/>
        <w:numPr>
          <w:ilvl w:val="0"/>
          <w:numId w:val="0"/>
        </w:numPr>
        <w:tabs>
          <w:tab w:val="clear" w:pos="420"/>
        </w:tabs>
        <w:spacing w:beforeLines="50" w:before="156"/>
        <w:ind w:firstLine="420"/>
        <w:rPr>
          <w:rFonts w:asciiTheme="minorEastAsia" w:eastAsiaTheme="minorEastAsia" w:hAnsiTheme="minorEastAsia"/>
          <w:b w:val="0"/>
          <w:shd w:val="pct15" w:color="auto" w:fill="FFFFFF"/>
        </w:rPr>
      </w:pPr>
      <w:r w:rsidRPr="003B685F">
        <w:rPr>
          <w:rFonts w:asciiTheme="minorEastAsia" w:eastAsiaTheme="minorEastAsia" w:hAnsiTheme="minorEastAsia" w:hint="eastAsia"/>
          <w:b w:val="0"/>
          <w:shd w:val="pct15" w:color="auto" w:fill="FFFFFF"/>
        </w:rPr>
        <w:t>微创颅内血肿穿刺针治疗、脑血管意外所致脑出血血肿清除术均不在保障范围内。</w:t>
      </w:r>
    </w:p>
    <w:p w14:paraId="1D4757ED"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骨质疏松骨折髋关节置换手术</w:t>
      </w:r>
    </w:p>
    <w:p w14:paraId="5504E5E7" w14:textId="77777777" w:rsidR="008F265F" w:rsidRDefault="00A542E4">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骨质疏松是一种系统性疾病。其特征为骨质量减少，骨小梁数目减少、变细和骨皮质变薄，导致骨脆性增加，骨折危险增加。根据世界卫生组织（WHO）建议，骨密度（BMD）较正常成人骨密度平均值降低2.5个标准差为骨质疏松症。必须满足下列所有条件：</w:t>
      </w:r>
    </w:p>
    <w:p w14:paraId="37F4C1B5"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1.</w:t>
      </w:r>
      <w:r>
        <w:rPr>
          <w:rFonts w:asciiTheme="minorEastAsia" w:eastAsiaTheme="minorEastAsia" w:hAnsiTheme="minorEastAsia" w:hint="eastAsia"/>
          <w:b w:val="0"/>
        </w:rPr>
        <w:t>依照诊断标准确诊为骨质疏松症；</w:t>
      </w:r>
    </w:p>
    <w:p w14:paraId="43B82115" w14:textId="77777777" w:rsidR="008F265F" w:rsidRDefault="00A542E4">
      <w:pPr>
        <w:pStyle w:val="30"/>
        <w:numPr>
          <w:ilvl w:val="0"/>
          <w:numId w:val="0"/>
        </w:numPr>
        <w:tabs>
          <w:tab w:val="clear" w:pos="420"/>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lastRenderedPageBreak/>
        <w:t>2.</w:t>
      </w:r>
      <w:r>
        <w:rPr>
          <w:rFonts w:asciiTheme="minorEastAsia" w:eastAsiaTheme="minorEastAsia" w:hAnsiTheme="minorEastAsia" w:hint="eastAsia"/>
          <w:b w:val="0"/>
        </w:rPr>
        <w:t>实际发生了股骨颈骨折并接受了髋关节置换手术。</w:t>
      </w:r>
    </w:p>
    <w:p w14:paraId="09DA04CA"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多发肋骨骨折</w:t>
      </w:r>
    </w:p>
    <w:p w14:paraId="0BF66AEA" w14:textId="77777777" w:rsidR="008F265F" w:rsidRDefault="00A542E4">
      <w:pPr>
        <w:pStyle w:val="30"/>
        <w:numPr>
          <w:ilvl w:val="0"/>
          <w:numId w:val="0"/>
        </w:numPr>
        <w:tabs>
          <w:tab w:val="clear" w:pos="420"/>
        </w:tabs>
        <w:spacing w:beforeLines="50" w:before="156"/>
        <w:ind w:firstLine="420"/>
        <w:rPr>
          <w:rFonts w:asciiTheme="minorEastAsia" w:eastAsiaTheme="minorEastAsia" w:hAnsiTheme="minorEastAsia"/>
          <w:b w:val="0"/>
          <w:shd w:val="pct10" w:color="auto" w:fill="FFFFFF"/>
        </w:rPr>
      </w:pPr>
      <w:r>
        <w:rPr>
          <w:rFonts w:asciiTheme="minorEastAsia" w:eastAsiaTheme="minorEastAsia" w:hAnsiTheme="minorEastAsia" w:hint="eastAsia"/>
          <w:b w:val="0"/>
        </w:rPr>
        <w:t>因一次意外伤害事故导致胸部损伤同时大于等于12根肋骨骨折，</w:t>
      </w:r>
      <w:r w:rsidRPr="003B685F">
        <w:rPr>
          <w:rFonts w:asciiTheme="minorEastAsia" w:eastAsiaTheme="minorEastAsia" w:hAnsiTheme="minorEastAsia" w:hint="eastAsia"/>
          <w:b w:val="0"/>
          <w:shd w:val="pct15" w:color="auto" w:fill="FFFFFF"/>
        </w:rPr>
        <w:t>陈旧性骨折不在保障范围内</w:t>
      </w:r>
      <w:r w:rsidRPr="003B685F">
        <w:rPr>
          <w:rFonts w:asciiTheme="minorEastAsia" w:eastAsiaTheme="minorEastAsia" w:hAnsiTheme="minorEastAsia" w:hint="eastAsia"/>
          <w:b w:val="0"/>
        </w:rPr>
        <w:t>。</w:t>
      </w:r>
    </w:p>
    <w:p w14:paraId="077048F6"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急性肾衰竭肾脏透析治疗</w:t>
      </w:r>
    </w:p>
    <w:p w14:paraId="79ABB073" w14:textId="77777777" w:rsidR="008F265F" w:rsidRDefault="00A542E4">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急性肾衰竭（ARF）是指各种病因引起的肾功能在短期内（数小时或数周）急剧进行性下降，导致体内氮质产物潴留而出现的临床综合征，国际上近年来改称为急性肾损伤（AKI）。急性肾衰竭肾脏透析治疗指诊断为急性肾衰竭，且满足下列全部条件：</w:t>
      </w:r>
    </w:p>
    <w:p w14:paraId="4A9D16A0"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1</w:t>
      </w:r>
      <w:r>
        <w:rPr>
          <w:rFonts w:asciiTheme="minorEastAsia" w:eastAsiaTheme="minorEastAsia" w:hAnsiTheme="minorEastAsia"/>
          <w:b w:val="0"/>
        </w:rPr>
        <w:t>.</w:t>
      </w:r>
      <w:r>
        <w:rPr>
          <w:rFonts w:asciiTheme="minorEastAsia" w:eastAsiaTheme="minorEastAsia" w:hAnsiTheme="minorEastAsia" w:hint="eastAsia"/>
          <w:b w:val="0"/>
        </w:rPr>
        <w:t>少尿或无尿2天以上；</w:t>
      </w:r>
    </w:p>
    <w:p w14:paraId="0779D2DE"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2</w:t>
      </w:r>
      <w:r>
        <w:rPr>
          <w:rFonts w:asciiTheme="minorEastAsia" w:eastAsiaTheme="minorEastAsia" w:hAnsiTheme="minorEastAsia"/>
          <w:b w:val="0"/>
        </w:rPr>
        <w:t>.</w:t>
      </w:r>
      <w:r>
        <w:rPr>
          <w:rFonts w:asciiTheme="minorEastAsia" w:eastAsiaTheme="minorEastAsia" w:hAnsiTheme="minorEastAsia" w:hint="eastAsia"/>
          <w:b w:val="0"/>
        </w:rPr>
        <w:t>血肌酐（Scr）＞5mg/dl或＞442</w:t>
      </w:r>
      <w:r>
        <w:rPr>
          <w:rFonts w:asciiTheme="minorEastAsia" w:eastAsiaTheme="minorEastAsia" w:hAnsiTheme="minorEastAsia"/>
          <w:b w:val="0"/>
          <w:snapToGrid w:val="0"/>
        </w:rPr>
        <w:t>µmol</w:t>
      </w:r>
      <w:r>
        <w:rPr>
          <w:rFonts w:asciiTheme="minorEastAsia" w:eastAsiaTheme="minorEastAsia" w:hAnsiTheme="minorEastAsia" w:hint="eastAsia"/>
          <w:b w:val="0"/>
        </w:rPr>
        <w:t>/L；</w:t>
      </w:r>
    </w:p>
    <w:p w14:paraId="679B40D9" w14:textId="77777777" w:rsidR="008F265F" w:rsidRDefault="00A542E4">
      <w:pPr>
        <w:pStyle w:val="30"/>
        <w:numPr>
          <w:ilvl w:val="0"/>
          <w:numId w:val="0"/>
        </w:numPr>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3.</w:t>
      </w:r>
      <w:r>
        <w:rPr>
          <w:rFonts w:asciiTheme="minorEastAsia" w:eastAsiaTheme="minorEastAsia" w:hAnsiTheme="minorEastAsia" w:hint="eastAsia"/>
          <w:b w:val="0"/>
        </w:rPr>
        <w:t>血钾＞6.5mmol/L；</w:t>
      </w:r>
    </w:p>
    <w:p w14:paraId="4A13B97F" w14:textId="77777777" w:rsidR="008F265F" w:rsidRDefault="00A542E4">
      <w:pPr>
        <w:pStyle w:val="30"/>
        <w:numPr>
          <w:ilvl w:val="0"/>
          <w:numId w:val="0"/>
        </w:numPr>
        <w:tabs>
          <w:tab w:val="clear" w:pos="420"/>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4</w:t>
      </w:r>
      <w:r>
        <w:rPr>
          <w:rFonts w:asciiTheme="minorEastAsia" w:eastAsiaTheme="minorEastAsia" w:hAnsiTheme="minorEastAsia"/>
          <w:b w:val="0"/>
        </w:rPr>
        <w:t>.</w:t>
      </w:r>
      <w:r>
        <w:rPr>
          <w:rFonts w:asciiTheme="minorEastAsia" w:eastAsiaTheme="minorEastAsia" w:hAnsiTheme="minorEastAsia" w:hint="eastAsia"/>
          <w:b w:val="0"/>
        </w:rPr>
        <w:t>接受了血液透析治疗。</w:t>
      </w:r>
    </w:p>
    <w:p w14:paraId="71C00FDB"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急性坏死性胰腺炎腹腔镜手术</w:t>
      </w:r>
    </w:p>
    <w:p w14:paraId="702D32C7" w14:textId="77777777" w:rsidR="008F265F" w:rsidRDefault="00A542E4">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指由相关专科医生确诊为急性出血性坏死性胰腺炎，并实际实施了腹腔镜手术治疗，以进行坏死组织清除、坏死病灶切除或胰腺切除。</w:t>
      </w:r>
    </w:p>
    <w:p w14:paraId="1101DDA1" w14:textId="77777777" w:rsidR="008F265F" w:rsidRPr="003B685F" w:rsidRDefault="00A542E4">
      <w:pPr>
        <w:pStyle w:val="30"/>
        <w:numPr>
          <w:ilvl w:val="0"/>
          <w:numId w:val="0"/>
        </w:numPr>
        <w:tabs>
          <w:tab w:val="clear" w:pos="420"/>
        </w:tabs>
        <w:spacing w:beforeLines="50" w:before="156"/>
        <w:ind w:firstLineChars="200" w:firstLine="420"/>
        <w:rPr>
          <w:rFonts w:asciiTheme="minorEastAsia" w:eastAsiaTheme="minorEastAsia" w:hAnsiTheme="minorEastAsia"/>
          <w:b w:val="0"/>
          <w:shd w:val="pct15" w:color="auto" w:fill="FFFFFF"/>
        </w:rPr>
      </w:pPr>
      <w:r w:rsidRPr="003B685F">
        <w:rPr>
          <w:rFonts w:asciiTheme="minorEastAsia" w:eastAsiaTheme="minorEastAsia" w:hAnsiTheme="minorEastAsia" w:hint="eastAsia"/>
          <w:b w:val="0"/>
          <w:shd w:val="pct15" w:color="auto" w:fill="FFFFFF"/>
        </w:rPr>
        <w:t>因酒精所致的胰腺炎不在保障范围内。</w:t>
      </w:r>
    </w:p>
    <w:p w14:paraId="0FA01B2B" w14:textId="77777777" w:rsidR="008F265F" w:rsidRDefault="00A542E4">
      <w:pPr>
        <w:pStyle w:val="30"/>
        <w:numPr>
          <w:ilvl w:val="0"/>
          <w:numId w:val="2"/>
        </w:numPr>
        <w:tabs>
          <w:tab w:val="clear" w:pos="420"/>
          <w:tab w:val="clear" w:pos="562"/>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昏迷</w:t>
      </w:r>
      <w:r>
        <w:rPr>
          <w:rFonts w:asciiTheme="minorEastAsia" w:eastAsiaTheme="minorEastAsia" w:hAnsiTheme="minorEastAsia"/>
          <w:b w:val="0"/>
        </w:rPr>
        <w:t>48小时</w:t>
      </w:r>
    </w:p>
    <w:p w14:paraId="0C3F0482" w14:textId="77777777" w:rsidR="008F265F" w:rsidRDefault="00A542E4">
      <w:pPr>
        <w:pStyle w:val="30"/>
        <w:numPr>
          <w:ilvl w:val="0"/>
          <w:numId w:val="0"/>
        </w:numPr>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指因疾病或意外伤害导致意识丧失，对外界刺激和体内需求均无反应，昏迷程度按照格拉斯哥昏迷分级（GCS，Glasgow Coma Scale）结果为5分</w:t>
      </w:r>
      <w:r>
        <w:rPr>
          <w:rFonts w:asciiTheme="minorEastAsia" w:eastAsiaTheme="minorEastAsia" w:hAnsiTheme="minorEastAsia" w:hint="eastAsia"/>
          <w:b w:val="0"/>
        </w:rPr>
        <w:lastRenderedPageBreak/>
        <w:t>或5分以下，且已经持续使用呼吸机及其他生命维持系统48小时以上，但未达到72小时。</w:t>
      </w:r>
    </w:p>
    <w:p w14:paraId="689CB86E" w14:textId="77777777" w:rsidR="008F265F" w:rsidRPr="003B685F" w:rsidRDefault="00A542E4">
      <w:pPr>
        <w:pStyle w:val="30"/>
        <w:numPr>
          <w:ilvl w:val="0"/>
          <w:numId w:val="0"/>
        </w:numPr>
        <w:tabs>
          <w:tab w:val="clear" w:pos="420"/>
        </w:tabs>
        <w:spacing w:beforeLines="50" w:before="156"/>
        <w:ind w:firstLineChars="200" w:firstLine="420"/>
        <w:rPr>
          <w:rFonts w:asciiTheme="minorEastAsia" w:eastAsiaTheme="minorEastAsia" w:hAnsiTheme="minorEastAsia"/>
          <w:b w:val="0"/>
          <w:shd w:val="pct15" w:color="auto" w:fill="FFFFFF"/>
        </w:rPr>
      </w:pPr>
      <w:r w:rsidRPr="003B685F">
        <w:rPr>
          <w:rFonts w:asciiTheme="minorEastAsia" w:eastAsiaTheme="minorEastAsia" w:hAnsiTheme="minorEastAsia" w:hint="eastAsia"/>
          <w:b w:val="0"/>
          <w:shd w:val="pct15" w:color="auto" w:fill="FFFFFF"/>
        </w:rPr>
        <w:t>因酗酒或药物滥用导致的昏迷</w:t>
      </w:r>
      <w:r w:rsidRPr="003B685F">
        <w:rPr>
          <w:rFonts w:asciiTheme="minorEastAsia" w:eastAsiaTheme="minorEastAsia" w:hAnsiTheme="minorEastAsia"/>
          <w:b w:val="0"/>
          <w:shd w:val="pct15" w:color="auto" w:fill="FFFFFF"/>
        </w:rPr>
        <w:t>48小时</w:t>
      </w:r>
      <w:r w:rsidRPr="003B685F">
        <w:rPr>
          <w:rFonts w:asciiTheme="minorEastAsia" w:eastAsiaTheme="minorEastAsia" w:hAnsiTheme="minorEastAsia" w:hint="eastAsia"/>
          <w:b w:val="0"/>
          <w:shd w:val="pct15" w:color="auto" w:fill="FFFFFF"/>
        </w:rPr>
        <w:t>不在保障范围内。</w:t>
      </w:r>
    </w:p>
    <w:p w14:paraId="5F5C3F8E" w14:textId="77777777" w:rsidR="008F265F" w:rsidRDefault="00A542E4">
      <w:pPr>
        <w:numPr>
          <w:ilvl w:val="0"/>
          <w:numId w:val="1"/>
        </w:numPr>
        <w:tabs>
          <w:tab w:val="left" w:pos="420"/>
          <w:tab w:val="left" w:pos="1276"/>
        </w:tabs>
        <w:spacing w:beforeLines="100" w:before="312"/>
        <w:ind w:left="1276" w:hanging="1276"/>
        <w:rPr>
          <w:rFonts w:ascii="宋体" w:hAnsi="宋体"/>
          <w:b/>
          <w:bCs/>
        </w:rPr>
      </w:pPr>
      <w:r>
        <w:rPr>
          <w:rFonts w:ascii="宋体" w:hAnsi="宋体" w:hint="eastAsia"/>
          <w:b/>
          <w:bCs/>
        </w:rPr>
        <w:t>中症疾病</w:t>
      </w:r>
      <w:r>
        <w:rPr>
          <w:rFonts w:ascii="宋体" w:hAnsi="宋体"/>
          <w:b/>
          <w:bCs/>
        </w:rPr>
        <w:t>的定义</w:t>
      </w:r>
    </w:p>
    <w:p w14:paraId="70FF247E"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一、中度进行性核上性麻痹</w:t>
      </w:r>
    </w:p>
    <w:p w14:paraId="0727E3EC"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指一种少见的神经系统变性疾病，以假球麻痹、垂直性核上性眼肌麻痹、锥体外系肌僵直、步态共济失调和轻度痴呆为主要临床特征。</w:t>
      </w:r>
    </w:p>
    <w:p w14:paraId="205F88D0" w14:textId="79C49594" w:rsidR="008F265F" w:rsidRDefault="00A542E4">
      <w:pPr>
        <w:pStyle w:val="30"/>
        <w:numPr>
          <w:ilvl w:val="0"/>
          <w:numId w:val="0"/>
        </w:numPr>
        <w:spacing w:beforeLines="50" w:before="156"/>
        <w:ind w:firstLineChars="200" w:firstLine="420"/>
        <w:rPr>
          <w:b w:val="0"/>
          <w:bCs w:val="0"/>
        </w:rPr>
      </w:pPr>
      <w:r>
        <w:rPr>
          <w:rFonts w:hint="eastAsia"/>
          <w:b w:val="0"/>
          <w:bCs w:val="0"/>
        </w:rPr>
        <w:t>须满足自主生活能力严重丧失，无法独立完成六项基本日常生活活动中的两项。但未达到</w:t>
      </w:r>
      <w:r>
        <w:rPr>
          <w:rFonts w:hint="eastAsia"/>
          <w:b w:val="0"/>
        </w:rPr>
        <w:t>本主险合同所指重大疾病</w:t>
      </w:r>
      <w:r>
        <w:rPr>
          <w:rFonts w:hint="eastAsia"/>
          <w:b w:val="0"/>
          <w:bCs w:val="0"/>
        </w:rPr>
        <w:t>“进行性核上性麻痹”或“瘫痪”的</w:t>
      </w:r>
      <w:r w:rsidR="00E76584">
        <w:rPr>
          <w:rFonts w:hint="eastAsia"/>
          <w:b w:val="0"/>
          <w:bCs w:val="0"/>
        </w:rPr>
        <w:t>给付</w:t>
      </w:r>
      <w:r>
        <w:rPr>
          <w:rFonts w:hint="eastAsia"/>
          <w:b w:val="0"/>
          <w:bCs w:val="0"/>
        </w:rPr>
        <w:t>标准。本病须经我们认可的医院的专科医生明确诊断。</w:t>
      </w:r>
    </w:p>
    <w:p w14:paraId="0C105042" w14:textId="77777777" w:rsidR="008F265F" w:rsidRDefault="00A542E4">
      <w:pPr>
        <w:pStyle w:val="30"/>
        <w:numPr>
          <w:ilvl w:val="0"/>
          <w:numId w:val="0"/>
        </w:numPr>
        <w:spacing w:beforeLines="50" w:before="156"/>
        <w:ind w:left="424"/>
        <w:rPr>
          <w:b w:val="0"/>
        </w:rPr>
      </w:pPr>
      <w:r>
        <w:rPr>
          <w:rFonts w:hint="eastAsia"/>
          <w:b w:val="0"/>
        </w:rPr>
        <w:t>二、中度脊髓灰质炎</w:t>
      </w:r>
    </w:p>
    <w:p w14:paraId="68E3AC65" w14:textId="022290A1" w:rsidR="008F265F" w:rsidRDefault="00A542E4">
      <w:pPr>
        <w:pStyle w:val="30"/>
        <w:numPr>
          <w:ilvl w:val="0"/>
          <w:numId w:val="0"/>
        </w:numPr>
        <w:spacing w:beforeLines="50" w:before="156"/>
        <w:ind w:firstLineChars="200" w:firstLine="420"/>
        <w:rPr>
          <w:b w:val="0"/>
          <w:bCs w:val="0"/>
        </w:rPr>
      </w:pPr>
      <w:r>
        <w:rPr>
          <w:rFonts w:hint="eastAsia"/>
          <w:b w:val="0"/>
          <w:bCs w:val="0"/>
        </w:rPr>
        <w:t>脊髓灰质炎是由于脊髓灰质炎病毒感染所致的瘫痪性疾病，临床表现为运动功能损害或呼吸无力。本主险合同仅对脊髓灰质炎确诊180天后，仍遗留一肢肢体三大关节中的至少一个大关节仍然完全僵硬，或不能随意识活动。</w:t>
      </w:r>
      <w:r>
        <w:rPr>
          <w:rFonts w:hint="eastAsia"/>
          <w:b w:val="0"/>
        </w:rPr>
        <w:t>但未达到本主险合同所指重大疾病“脊髓灰质炎导致的瘫痪”的</w:t>
      </w:r>
      <w:r w:rsidR="00E76584">
        <w:rPr>
          <w:rFonts w:hint="eastAsia"/>
          <w:b w:val="0"/>
        </w:rPr>
        <w:t>给付</w:t>
      </w:r>
      <w:r>
        <w:rPr>
          <w:rFonts w:hint="eastAsia"/>
          <w:b w:val="0"/>
        </w:rPr>
        <w:t>标准。</w:t>
      </w:r>
    </w:p>
    <w:p w14:paraId="01599648"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三、严重甲型及乙型血友病</w:t>
      </w:r>
    </w:p>
    <w:p w14:paraId="64E6F7BC"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被保险人必须是患上严重甲型血友病（缺乏</w:t>
      </w:r>
      <w:r>
        <w:rPr>
          <w:rFonts w:asciiTheme="minorEastAsia" w:eastAsiaTheme="minorEastAsia" w:hAnsiTheme="minorEastAsia" w:hint="eastAsia"/>
          <w:b w:val="0"/>
          <w:bCs w:val="0"/>
        </w:rPr>
        <w:t>Ⅷ</w:t>
      </w:r>
      <w:r>
        <w:rPr>
          <w:rFonts w:hint="eastAsia"/>
          <w:b w:val="0"/>
          <w:bCs w:val="0"/>
        </w:rPr>
        <w:t>凝血因子）或严重乙型血友病（缺乏Ⅸ凝血因子），而凝血因子</w:t>
      </w:r>
      <w:r>
        <w:rPr>
          <w:rFonts w:asciiTheme="minorEastAsia" w:eastAsiaTheme="minorEastAsia" w:hAnsiTheme="minorEastAsia" w:hint="eastAsia"/>
          <w:b w:val="0"/>
          <w:bCs w:val="0"/>
        </w:rPr>
        <w:t>Ⅷ</w:t>
      </w:r>
      <w:r>
        <w:rPr>
          <w:rFonts w:hint="eastAsia"/>
          <w:b w:val="0"/>
          <w:bCs w:val="0"/>
        </w:rPr>
        <w:t>或凝血因子Ⅸ的活性水平少于百分之一。诊断必须由我们认可的医院的血液病专科医生确认。</w:t>
      </w:r>
    </w:p>
    <w:p w14:paraId="0BBACE41" w14:textId="77777777" w:rsidR="008F265F" w:rsidRDefault="00A542E4">
      <w:pPr>
        <w:pStyle w:val="30"/>
        <w:numPr>
          <w:ilvl w:val="0"/>
          <w:numId w:val="0"/>
        </w:numPr>
        <w:spacing w:beforeLines="50" w:before="156"/>
        <w:ind w:firstLineChars="200" w:firstLine="420"/>
        <w:rPr>
          <w:b w:val="0"/>
          <w:bCs w:val="0"/>
        </w:rPr>
      </w:pPr>
      <w:r>
        <w:rPr>
          <w:rFonts w:hint="eastAsia"/>
          <w:b w:val="0"/>
          <w:bCs w:val="0"/>
        </w:rPr>
        <w:lastRenderedPageBreak/>
        <w:t>我们承担本项疾病责任不受本主险合同责任免除中“遗传性疾病，先天性畸形、变形或染色体异常”的限制。</w:t>
      </w:r>
    </w:p>
    <w:p w14:paraId="18874239"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四、单侧肺脏切除</w:t>
      </w:r>
    </w:p>
    <w:p w14:paraId="18043770" w14:textId="77777777" w:rsidR="008F265F" w:rsidRDefault="00A542E4">
      <w:pPr>
        <w:pStyle w:val="30"/>
        <w:numPr>
          <w:ilvl w:val="0"/>
          <w:numId w:val="0"/>
        </w:numPr>
        <w:spacing w:beforeLines="50" w:before="156"/>
        <w:ind w:left="420"/>
        <w:rPr>
          <w:b w:val="0"/>
        </w:rPr>
      </w:pPr>
      <w:r>
        <w:rPr>
          <w:rFonts w:hint="eastAsia"/>
          <w:b w:val="0"/>
        </w:rPr>
        <w:t>指因疾病或意外伤害导致肺部严重损害，已经实施了单侧全肺切除手术。</w:t>
      </w:r>
    </w:p>
    <w:p w14:paraId="74CF7609" w14:textId="77777777" w:rsidR="008F265F" w:rsidRPr="003B685F" w:rsidRDefault="00A542E4">
      <w:pPr>
        <w:pStyle w:val="30"/>
        <w:numPr>
          <w:ilvl w:val="0"/>
          <w:numId w:val="0"/>
        </w:numPr>
        <w:spacing w:beforeLines="50" w:before="156"/>
        <w:ind w:firstLineChars="202" w:firstLine="424"/>
        <w:rPr>
          <w:b w:val="0"/>
          <w:shd w:val="pct15" w:color="auto" w:fill="FFFFFF"/>
        </w:rPr>
      </w:pPr>
      <w:r w:rsidRPr="003B685F">
        <w:rPr>
          <w:rFonts w:hint="eastAsia"/>
          <w:b w:val="0"/>
          <w:shd w:val="pct15" w:color="auto" w:fill="FFFFFF"/>
        </w:rPr>
        <w:t>下列情况不在保障范围内：</w:t>
      </w:r>
    </w:p>
    <w:p w14:paraId="55F039DE"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1</w:t>
      </w:r>
      <w:r w:rsidRPr="003B685F">
        <w:rPr>
          <w:b w:val="0"/>
          <w:shd w:val="pct15" w:color="auto" w:fill="FFFFFF"/>
        </w:rPr>
        <w:t>.</w:t>
      </w:r>
      <w:r w:rsidRPr="003B685F">
        <w:rPr>
          <w:rFonts w:hint="eastAsia"/>
          <w:b w:val="0"/>
          <w:shd w:val="pct15" w:color="auto" w:fill="FFFFFF"/>
        </w:rPr>
        <w:t>肺叶切除、肺段切除手术；</w:t>
      </w:r>
    </w:p>
    <w:p w14:paraId="7BE8EA90" w14:textId="77777777" w:rsidR="008F265F" w:rsidRPr="003B685F" w:rsidRDefault="00A542E4">
      <w:pPr>
        <w:pStyle w:val="30"/>
        <w:numPr>
          <w:ilvl w:val="0"/>
          <w:numId w:val="0"/>
        </w:numPr>
        <w:spacing w:beforeLines="0" w:before="0"/>
        <w:ind w:firstLineChars="202" w:firstLine="424"/>
        <w:rPr>
          <w:b w:val="0"/>
          <w:shd w:val="pct15" w:color="auto" w:fill="FFFFFF"/>
        </w:rPr>
      </w:pPr>
      <w:r w:rsidRPr="003B685F">
        <w:rPr>
          <w:rFonts w:hint="eastAsia"/>
          <w:b w:val="0"/>
          <w:shd w:val="pct15" w:color="auto" w:fill="FFFFFF"/>
        </w:rPr>
        <w:t>2</w:t>
      </w:r>
      <w:r w:rsidRPr="003B685F">
        <w:rPr>
          <w:b w:val="0"/>
          <w:shd w:val="pct15" w:color="auto" w:fill="FFFFFF"/>
        </w:rPr>
        <w:t>.</w:t>
      </w:r>
      <w:r w:rsidRPr="003B685F">
        <w:rPr>
          <w:rFonts w:hint="eastAsia"/>
          <w:b w:val="0"/>
          <w:shd w:val="pct15" w:color="auto" w:fill="FFFFFF"/>
        </w:rPr>
        <w:t>因恶性肿瘤进行的肺切除手术；</w:t>
      </w:r>
    </w:p>
    <w:p w14:paraId="317B8C40" w14:textId="77777777" w:rsidR="008F265F" w:rsidRPr="003B685F" w:rsidRDefault="00A542E4">
      <w:pPr>
        <w:pStyle w:val="30"/>
        <w:numPr>
          <w:ilvl w:val="0"/>
          <w:numId w:val="0"/>
        </w:numPr>
        <w:spacing w:beforeLines="0" w:before="0"/>
        <w:ind w:firstLineChars="202" w:firstLine="424"/>
        <w:rPr>
          <w:b w:val="0"/>
          <w:shd w:val="pct15" w:color="auto" w:fill="FFFFFF"/>
        </w:rPr>
      </w:pPr>
      <w:r w:rsidRPr="003B685F">
        <w:rPr>
          <w:rFonts w:hint="eastAsia"/>
          <w:b w:val="0"/>
          <w:shd w:val="pct15" w:color="auto" w:fill="FFFFFF"/>
        </w:rPr>
        <w:t>3</w:t>
      </w:r>
      <w:r w:rsidRPr="003B685F">
        <w:rPr>
          <w:b w:val="0"/>
          <w:shd w:val="pct15" w:color="auto" w:fill="FFFFFF"/>
        </w:rPr>
        <w:t>.</w:t>
      </w:r>
      <w:r w:rsidRPr="003B685F">
        <w:rPr>
          <w:rFonts w:hint="eastAsia"/>
          <w:b w:val="0"/>
          <w:shd w:val="pct15" w:color="auto" w:fill="FFFFFF"/>
        </w:rPr>
        <w:t>作为器官捐献者而实施的肺切除手术。</w:t>
      </w:r>
    </w:p>
    <w:p w14:paraId="6BC0497D"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五、中度类风湿性关节炎</w:t>
      </w:r>
    </w:p>
    <w:p w14:paraId="4AD0433C" w14:textId="29E33D1B" w:rsidR="008F265F" w:rsidRDefault="00A542E4" w:rsidP="006327D1">
      <w:pPr>
        <w:pStyle w:val="30"/>
        <w:numPr>
          <w:ilvl w:val="0"/>
          <w:numId w:val="0"/>
        </w:numPr>
        <w:spacing w:beforeLines="50" w:before="156"/>
        <w:ind w:firstLineChars="201" w:firstLine="422"/>
        <w:rPr>
          <w:b w:val="0"/>
        </w:rPr>
      </w:pPr>
      <w:r>
        <w:rPr>
          <w:rFonts w:hint="eastAsia"/>
          <w:b w:val="0"/>
        </w:rPr>
        <w:t>根据美国风湿病学院的诊断标准，由风湿科专科医生明确诊断并符合下列所有理赔条件，但未达到本主险合同所指重大疾病“严重类风湿性关节炎”或“严重幼年型类风湿性关节炎”的</w:t>
      </w:r>
      <w:r w:rsidR="00E76584">
        <w:rPr>
          <w:rFonts w:hint="eastAsia"/>
          <w:b w:val="0"/>
        </w:rPr>
        <w:t>给付</w:t>
      </w:r>
      <w:r>
        <w:rPr>
          <w:rFonts w:hint="eastAsia"/>
          <w:b w:val="0"/>
        </w:rPr>
        <w:t>标准：表现为关节严重变形，侵犯至少两个主要关节或关节组（如：双手（多手指）关节、双足（多足趾）关节、双腕关节、双膝关节和双髋关节）。</w:t>
      </w:r>
    </w:p>
    <w:p w14:paraId="32B03455" w14:textId="77777777" w:rsidR="008F265F" w:rsidRDefault="00A542E4">
      <w:pPr>
        <w:pStyle w:val="30"/>
        <w:numPr>
          <w:ilvl w:val="0"/>
          <w:numId w:val="0"/>
        </w:numPr>
        <w:spacing w:beforeLines="50" w:before="156"/>
        <w:ind w:firstLineChars="200" w:firstLine="420"/>
        <w:rPr>
          <w:b w:val="0"/>
        </w:rPr>
      </w:pPr>
      <w:r>
        <w:rPr>
          <w:rFonts w:hint="eastAsia"/>
          <w:b w:val="0"/>
        </w:rPr>
        <w:t>类风湿性关节炎必须明确诊断并且已经达到类风湿性关节炎功能分级Ⅲ级以上的功能障碍（关节活动严重限制，至少180天无法独立完成六项基本日常生活活动中的二项或二项以上）。</w:t>
      </w:r>
    </w:p>
    <w:p w14:paraId="2CD46B0F"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六、中度</w:t>
      </w:r>
      <w:r>
        <w:rPr>
          <w:b w:val="0"/>
        </w:rPr>
        <w:t>小肠损害</w:t>
      </w:r>
      <w:r>
        <w:rPr>
          <w:rFonts w:hint="eastAsia"/>
          <w:b w:val="0"/>
        </w:rPr>
        <w:t>并发症</w:t>
      </w:r>
    </w:p>
    <w:p w14:paraId="6C1BF18B" w14:textId="77777777" w:rsidR="008F265F" w:rsidRDefault="00A542E4">
      <w:pPr>
        <w:pStyle w:val="30"/>
        <w:numPr>
          <w:ilvl w:val="0"/>
          <w:numId w:val="0"/>
        </w:numPr>
        <w:spacing w:beforeLines="50" w:before="156"/>
        <w:ind w:firstLineChars="200" w:firstLine="420"/>
        <w:rPr>
          <w:b w:val="0"/>
        </w:rPr>
      </w:pPr>
      <w:r>
        <w:rPr>
          <w:rFonts w:hint="eastAsia"/>
          <w:b w:val="0"/>
        </w:rPr>
        <w:t>严重肠道疾病或意外伤害导致小肠损害，出现严重并发症，并且未达到本主险合同所指重大疾病“严重小肠损害并发症”的给付标准。本疾病必须</w:t>
      </w:r>
      <w:r>
        <w:rPr>
          <w:rFonts w:hint="eastAsia"/>
          <w:b w:val="0"/>
        </w:rPr>
        <w:lastRenderedPageBreak/>
        <w:t>同时满足以下所有条件：</w:t>
      </w:r>
    </w:p>
    <w:p w14:paraId="070E4C33" w14:textId="77777777" w:rsidR="008F265F" w:rsidRDefault="00A542E4">
      <w:pPr>
        <w:pStyle w:val="30"/>
        <w:numPr>
          <w:ilvl w:val="0"/>
          <w:numId w:val="0"/>
        </w:numPr>
        <w:spacing w:beforeLines="0" w:before="0"/>
        <w:ind w:firstLineChars="200" w:firstLine="420"/>
        <w:rPr>
          <w:b w:val="0"/>
        </w:rPr>
      </w:pPr>
      <w:r>
        <w:rPr>
          <w:rFonts w:hint="eastAsia"/>
          <w:b w:val="0"/>
        </w:rPr>
        <w:t>1.至少切除了小肠总长度的二分之一；</w:t>
      </w:r>
    </w:p>
    <w:p w14:paraId="4A8DE6D1" w14:textId="77777777" w:rsidR="008F265F" w:rsidRDefault="00A542E4">
      <w:pPr>
        <w:pStyle w:val="30"/>
        <w:numPr>
          <w:ilvl w:val="0"/>
          <w:numId w:val="0"/>
        </w:numPr>
        <w:spacing w:beforeLines="0" w:before="0"/>
        <w:ind w:firstLineChars="200" w:firstLine="420"/>
        <w:rPr>
          <w:b w:val="0"/>
        </w:rPr>
      </w:pPr>
      <w:r>
        <w:rPr>
          <w:rFonts w:hint="eastAsia"/>
          <w:b w:val="0"/>
        </w:rPr>
        <w:t>2.已经接受完全肠外营养支持治疗超过60天。</w:t>
      </w:r>
    </w:p>
    <w:p w14:paraId="40DCB2CC"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bCs w:val="0"/>
          <w:shd w:val="pct15" w:color="auto" w:fill="FFFFFF"/>
        </w:rPr>
        <w:t>对于“中度克罗恩病”和因克罗恩病所致的“中度小肠损害并发症”，我们仅承担其中一项保险责任。</w:t>
      </w:r>
    </w:p>
    <w:p w14:paraId="6DC411E6"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七、中度阿尔茨海默病</w:t>
      </w:r>
    </w:p>
    <w:p w14:paraId="15EFA3F0" w14:textId="77777777" w:rsidR="008F265F" w:rsidRDefault="00A542E4">
      <w:pPr>
        <w:pStyle w:val="30"/>
        <w:numPr>
          <w:ilvl w:val="0"/>
          <w:numId w:val="0"/>
        </w:numPr>
        <w:spacing w:beforeLines="50" w:before="156"/>
        <w:ind w:firstLineChars="200" w:firstLine="420"/>
        <w:rPr>
          <w:b w:val="0"/>
        </w:rPr>
      </w:pPr>
      <w:r>
        <w:rPr>
          <w:rFonts w:hint="eastAsia"/>
          <w:b w:val="0"/>
        </w:rPr>
        <w:t>指因大脑进行性、不可逆性改变导致智能严重衰退或丧失，临床表现为明显的认知能力障碍、行为异常和社交能力减退，其日常生活必须持续受到他人监护。</w:t>
      </w:r>
    </w:p>
    <w:p w14:paraId="2570D993" w14:textId="77777777" w:rsidR="008F265F" w:rsidRDefault="00A542E4">
      <w:pPr>
        <w:pStyle w:val="30"/>
        <w:numPr>
          <w:ilvl w:val="0"/>
          <w:numId w:val="0"/>
        </w:numPr>
        <w:spacing w:beforeLines="50" w:before="156"/>
        <w:ind w:firstLineChars="200" w:firstLine="420"/>
        <w:rPr>
          <w:b w:val="0"/>
        </w:rPr>
      </w:pPr>
      <w:r>
        <w:rPr>
          <w:rFonts w:hint="eastAsia"/>
          <w:b w:val="0"/>
        </w:rPr>
        <w:t>须由头颅断层扫描（CT）、核磁共振检查（MRI）或正电子发射断层扫描（PET）等影像学检查证实，并且自主生活能力严重丧失，经鉴定无法独立完成六项基本日常生活活动中的两项，但未达到本主险合同所指重大疾病“严重阿尔茨海默病”或“瘫痪”的给付标准。</w:t>
      </w:r>
    </w:p>
    <w:p w14:paraId="75579665"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shd w:val="pct15" w:color="auto" w:fill="FFFFFF"/>
        </w:rPr>
        <w:t>以下情况不在保障范围内：</w:t>
      </w:r>
    </w:p>
    <w:p w14:paraId="3C319129"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1</w:t>
      </w:r>
      <w:r w:rsidRPr="003B685F">
        <w:rPr>
          <w:b w:val="0"/>
          <w:shd w:val="pct15" w:color="auto" w:fill="FFFFFF"/>
        </w:rPr>
        <w:t>.</w:t>
      </w:r>
      <w:r w:rsidRPr="003B685F">
        <w:rPr>
          <w:rFonts w:hint="eastAsia"/>
          <w:b w:val="0"/>
          <w:shd w:val="pct15" w:color="auto" w:fill="FFFFFF"/>
        </w:rPr>
        <w:t>存在酒精滥用、药物滥用或获得性免疫缺陷综合征（AIDS）情况下的痴呆；</w:t>
      </w:r>
    </w:p>
    <w:p w14:paraId="549A9E18" w14:textId="77777777" w:rsidR="008F265F" w:rsidRPr="003B685F" w:rsidRDefault="00A542E4">
      <w:pPr>
        <w:pStyle w:val="30"/>
        <w:numPr>
          <w:ilvl w:val="0"/>
          <w:numId w:val="0"/>
        </w:numPr>
        <w:spacing w:beforeLines="0" w:before="0"/>
        <w:ind w:firstLineChars="200" w:firstLine="420"/>
        <w:rPr>
          <w:b w:val="0"/>
          <w:shd w:val="pct15" w:color="auto" w:fill="FFFFFF"/>
        </w:rPr>
      </w:pPr>
      <w:r w:rsidRPr="003B685F">
        <w:rPr>
          <w:rFonts w:hint="eastAsia"/>
          <w:b w:val="0"/>
          <w:shd w:val="pct15" w:color="auto" w:fill="FFFFFF"/>
        </w:rPr>
        <w:t>2</w:t>
      </w:r>
      <w:r w:rsidRPr="003B685F">
        <w:rPr>
          <w:b w:val="0"/>
          <w:shd w:val="pct15" w:color="auto" w:fill="FFFFFF"/>
        </w:rPr>
        <w:t>.</w:t>
      </w:r>
      <w:r w:rsidRPr="003B685F">
        <w:rPr>
          <w:rFonts w:hint="eastAsia"/>
          <w:b w:val="0"/>
          <w:shd w:val="pct15" w:color="auto" w:fill="FFFFFF"/>
        </w:rPr>
        <w:t>神经官能症和精神疾病。</w:t>
      </w:r>
    </w:p>
    <w:p w14:paraId="4AAFF481"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八、中度原发性帕金森病</w:t>
      </w:r>
    </w:p>
    <w:p w14:paraId="5B43E762" w14:textId="77777777" w:rsidR="008F265F" w:rsidRDefault="00A542E4">
      <w:pPr>
        <w:pStyle w:val="30"/>
        <w:numPr>
          <w:ilvl w:val="0"/>
          <w:numId w:val="0"/>
        </w:numPr>
        <w:spacing w:beforeLines="50" w:before="156"/>
        <w:ind w:firstLineChars="200" w:firstLine="420"/>
        <w:rPr>
          <w:b w:val="0"/>
        </w:rPr>
      </w:pPr>
      <w:r>
        <w:rPr>
          <w:rFonts w:hint="eastAsia"/>
          <w:b w:val="0"/>
        </w:rPr>
        <w:t>是一种中枢神经系统的退行性疾病，临床表现为运动迟缓、静止性震颤或肌强直等。经相关专科医生确诊，且须满足自主生活能力部分丧失，无法独立完成六项基本日常生活活动中的两项，并且未达到本主险合同所指重</w:t>
      </w:r>
      <w:r>
        <w:rPr>
          <w:rFonts w:hint="eastAsia"/>
          <w:b w:val="0"/>
        </w:rPr>
        <w:lastRenderedPageBreak/>
        <w:t>大疾病“严重原发性帕金森病”的给付标准。</w:t>
      </w:r>
    </w:p>
    <w:p w14:paraId="5710715E" w14:textId="77777777" w:rsidR="008F265F" w:rsidRPr="003B685F" w:rsidRDefault="00A542E4">
      <w:pPr>
        <w:pStyle w:val="30"/>
        <w:numPr>
          <w:ilvl w:val="0"/>
          <w:numId w:val="0"/>
        </w:numPr>
        <w:spacing w:beforeLines="50" w:before="156"/>
        <w:ind w:firstLineChars="200" w:firstLine="420"/>
        <w:rPr>
          <w:b w:val="0"/>
          <w:shd w:val="pct15" w:color="auto" w:fill="FFFFFF"/>
        </w:rPr>
      </w:pPr>
      <w:r w:rsidRPr="003B685F">
        <w:rPr>
          <w:rFonts w:hint="eastAsia"/>
          <w:b w:val="0"/>
          <w:bCs w:val="0"/>
          <w:shd w:val="pct15" w:color="auto" w:fill="FFFFFF"/>
        </w:rPr>
        <w:t>继发性帕金森综合征、帕金森叠加综合征不在保障范围内。</w:t>
      </w:r>
    </w:p>
    <w:p w14:paraId="2CDA0A07"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九、中度脑损伤</w:t>
      </w:r>
    </w:p>
    <w:p w14:paraId="43BF7114" w14:textId="77777777" w:rsidR="008F265F" w:rsidRDefault="00A542E4">
      <w:pPr>
        <w:pStyle w:val="30"/>
        <w:numPr>
          <w:ilvl w:val="0"/>
          <w:numId w:val="0"/>
        </w:numPr>
        <w:spacing w:beforeLines="50" w:before="156"/>
        <w:ind w:firstLineChars="200" w:firstLine="420"/>
        <w:rPr>
          <w:b w:val="0"/>
        </w:rPr>
      </w:pPr>
      <w:r>
        <w:rPr>
          <w:rFonts w:hint="eastAsia"/>
          <w:b w:val="0"/>
        </w:rPr>
        <w:t>指因头部遭受机械性外力，引起脑重要部位损伤，导致神经系统永久性的功能障碍。</w:t>
      </w:r>
    </w:p>
    <w:p w14:paraId="2261F17F" w14:textId="77777777" w:rsidR="008F265F" w:rsidRDefault="00A542E4">
      <w:pPr>
        <w:pStyle w:val="30"/>
        <w:numPr>
          <w:ilvl w:val="0"/>
          <w:numId w:val="0"/>
        </w:numPr>
        <w:spacing w:beforeLines="50" w:before="156"/>
        <w:ind w:firstLineChars="200" w:firstLine="420"/>
        <w:rPr>
          <w:b w:val="0"/>
        </w:rPr>
      </w:pPr>
      <w:r>
        <w:rPr>
          <w:rFonts w:hint="eastAsia"/>
          <w:b w:val="0"/>
        </w:rPr>
        <w:t>须由头颅断层扫描（CT）、核磁共振检查（MRI）或正电子发射断层扫描（PET）等影像学检查证实。神经系统永久性的功能障碍，指脑损伤180天后，仍存在自主生活能力部分丧失，无法独立完成六项基本日常生活活动中的两项。并且未达到本主险合同所指重大疾病“严重脑损伤”或“瘫痪”的给付标准。</w:t>
      </w:r>
    </w:p>
    <w:p w14:paraId="227A57D3"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十、中度运动神经元病</w:t>
      </w:r>
    </w:p>
    <w:p w14:paraId="4A880674" w14:textId="77777777" w:rsidR="008F265F" w:rsidRDefault="00A542E4">
      <w:pPr>
        <w:pStyle w:val="30"/>
        <w:numPr>
          <w:ilvl w:val="0"/>
          <w:numId w:val="0"/>
        </w:numPr>
        <w:spacing w:beforeLines="50" w:before="156"/>
        <w:ind w:firstLineChars="200" w:firstLine="420"/>
        <w:rPr>
          <w:b w:val="0"/>
        </w:rPr>
      </w:pPr>
      <w:r>
        <w:rPr>
          <w:rFonts w:hint="eastAsia"/>
          <w:b w:val="0"/>
        </w:rPr>
        <w:t>指一组中枢神经系统运动神经元的进行性变性疾病，包括进行性脊肌萎缩症、进行性延髓麻痹症、原发性侧索硬化症、肌萎缩性侧索硬化症，经相关专科医生确诊，且须满足自主生活能力部分丧失，无法独立完成六项基本日常生活活动中的两项，并且未达到本主险合同所指重大疾病“严重运动神经元病”或“瘫痪”的给付标准。</w:t>
      </w:r>
    </w:p>
    <w:p w14:paraId="5F6C70F2"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十一、腔静脉过滤器植入术</w:t>
      </w:r>
    </w:p>
    <w:p w14:paraId="5E35E7D4" w14:textId="77777777" w:rsidR="008F265F" w:rsidRDefault="00A542E4">
      <w:pPr>
        <w:pStyle w:val="30"/>
        <w:numPr>
          <w:ilvl w:val="0"/>
          <w:numId w:val="0"/>
        </w:numPr>
        <w:spacing w:beforeLines="50" w:before="156"/>
        <w:ind w:firstLineChars="200" w:firstLine="420"/>
        <w:rPr>
          <w:b w:val="0"/>
        </w:rPr>
      </w:pPr>
      <w:r>
        <w:rPr>
          <w:rFonts w:hint="eastAsia"/>
          <w:b w:val="0"/>
        </w:rPr>
        <w:t>指为治疗反复肺栓塞发作，抗凝血疗法无效，已经实施了腔静脉过滤器植入术。手术必须在专科医生认为是医学上必需的情况下进行。</w:t>
      </w:r>
    </w:p>
    <w:p w14:paraId="550B89C7"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十二、中度肌营养不良症</w:t>
      </w:r>
    </w:p>
    <w:p w14:paraId="36B1885C" w14:textId="77777777" w:rsidR="008F265F" w:rsidRDefault="00A542E4">
      <w:pPr>
        <w:pStyle w:val="30"/>
        <w:numPr>
          <w:ilvl w:val="0"/>
          <w:numId w:val="0"/>
        </w:numPr>
        <w:spacing w:beforeLines="50" w:before="156"/>
        <w:ind w:firstLineChars="200" w:firstLine="420"/>
        <w:rPr>
          <w:b w:val="0"/>
        </w:rPr>
      </w:pPr>
      <w:r>
        <w:rPr>
          <w:rFonts w:hint="eastAsia"/>
          <w:b w:val="0"/>
        </w:rPr>
        <w:lastRenderedPageBreak/>
        <w:t>指一组原发于肌肉的遗传性疾病，临床表现为与神经系统无关的肌肉无力和肌肉萎缩。但未达到本主险合同所指重大疾病“严重肌营养不良症”或“瘫痪”的给付标准。须满足下列全部条件：</w:t>
      </w:r>
    </w:p>
    <w:p w14:paraId="53C90EEE" w14:textId="77777777" w:rsidR="008F265F" w:rsidRDefault="00A542E4">
      <w:pPr>
        <w:pStyle w:val="30"/>
        <w:numPr>
          <w:ilvl w:val="0"/>
          <w:numId w:val="0"/>
        </w:numPr>
        <w:spacing w:beforeLines="0" w:before="0"/>
        <w:ind w:firstLineChars="200" w:firstLine="420"/>
        <w:rPr>
          <w:b w:val="0"/>
        </w:rPr>
      </w:pPr>
      <w:r>
        <w:rPr>
          <w:rFonts w:hint="eastAsia"/>
          <w:b w:val="0"/>
        </w:rPr>
        <w:t>1</w:t>
      </w:r>
      <w:r>
        <w:rPr>
          <w:b w:val="0"/>
        </w:rPr>
        <w:t>.</w:t>
      </w:r>
      <w:r>
        <w:rPr>
          <w:rFonts w:hint="eastAsia"/>
          <w:b w:val="0"/>
        </w:rPr>
        <w:t>肌肉组织活检结果证实存在肌肉细胞变性、坏死等肌营养不良症典型改变；</w:t>
      </w:r>
    </w:p>
    <w:p w14:paraId="634EB4AC" w14:textId="77777777" w:rsidR="008F265F" w:rsidRDefault="00A542E4">
      <w:pPr>
        <w:pStyle w:val="30"/>
        <w:numPr>
          <w:ilvl w:val="0"/>
          <w:numId w:val="0"/>
        </w:numPr>
        <w:spacing w:beforeLines="0" w:before="0"/>
        <w:ind w:firstLineChars="200" w:firstLine="420"/>
        <w:rPr>
          <w:b w:val="0"/>
        </w:rPr>
      </w:pPr>
      <w:r>
        <w:rPr>
          <w:rFonts w:hint="eastAsia"/>
          <w:b w:val="0"/>
        </w:rPr>
        <w:t>2</w:t>
      </w:r>
      <w:r>
        <w:rPr>
          <w:b w:val="0"/>
        </w:rPr>
        <w:t>.</w:t>
      </w:r>
      <w:r>
        <w:rPr>
          <w:rFonts w:hint="eastAsia"/>
          <w:b w:val="0"/>
        </w:rPr>
        <w:t>自主生活能力部分丧失，无法独立完成六项基本日常生活活动中的两项或两项以上。</w:t>
      </w:r>
    </w:p>
    <w:p w14:paraId="5D76201F" w14:textId="77777777" w:rsidR="008F265F" w:rsidRDefault="00A542E4">
      <w:pPr>
        <w:pStyle w:val="30"/>
        <w:numPr>
          <w:ilvl w:val="0"/>
          <w:numId w:val="0"/>
        </w:numPr>
        <w:spacing w:beforeLines="50" w:before="156"/>
        <w:ind w:firstLineChars="200" w:firstLine="420"/>
        <w:rPr>
          <w:b w:val="0"/>
        </w:rPr>
      </w:pPr>
      <w:r>
        <w:rPr>
          <w:rFonts w:hint="eastAsia"/>
          <w:b w:val="0"/>
        </w:rPr>
        <w:t>我们承担本项疾病责任不受本主险合同责任免除中“遗传性疾病，先天性畸形、变形或染色体异常”的限制。</w:t>
      </w:r>
    </w:p>
    <w:p w14:paraId="17BB25D9"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十三、中度克雅氏症</w:t>
      </w:r>
    </w:p>
    <w:p w14:paraId="01A7AE7B" w14:textId="77777777" w:rsidR="008F265F" w:rsidRDefault="00A542E4">
      <w:pPr>
        <w:pStyle w:val="30"/>
        <w:numPr>
          <w:ilvl w:val="0"/>
          <w:numId w:val="0"/>
        </w:numPr>
        <w:spacing w:beforeLines="50" w:before="156"/>
        <w:ind w:firstLineChars="200" w:firstLine="420"/>
        <w:rPr>
          <w:b w:val="0"/>
        </w:rPr>
      </w:pPr>
      <w:r>
        <w:rPr>
          <w:rFonts w:hint="eastAsia"/>
          <w:b w:val="0"/>
        </w:rPr>
        <w:t>是一种传染性海绵状脑病，临床表现为快速进行性痴呆、肌阵挛和特征性脑电图变化。</w:t>
      </w:r>
    </w:p>
    <w:p w14:paraId="18DD6473" w14:textId="6C7349F7" w:rsidR="008F265F" w:rsidRDefault="00A542E4">
      <w:pPr>
        <w:pStyle w:val="30"/>
        <w:numPr>
          <w:ilvl w:val="0"/>
          <w:numId w:val="0"/>
        </w:numPr>
        <w:spacing w:beforeLines="50" w:before="156"/>
        <w:ind w:firstLineChars="200" w:firstLine="420"/>
        <w:rPr>
          <w:b w:val="0"/>
        </w:rPr>
      </w:pPr>
      <w:r>
        <w:rPr>
          <w:rFonts w:hint="eastAsia"/>
          <w:b w:val="0"/>
        </w:rPr>
        <w:t>须由我们认可的医院的专科医生根据WHO诊断标准明确诊断，并且自主生活能力完全丧失，无法独立完成六项基本日常生活活动中的两项，但未达到本主险合同所指重大疾病“克雅氏病”的</w:t>
      </w:r>
      <w:r w:rsidR="00E76584">
        <w:rPr>
          <w:rFonts w:hint="eastAsia"/>
          <w:b w:val="0"/>
        </w:rPr>
        <w:t>给付</w:t>
      </w:r>
      <w:r>
        <w:rPr>
          <w:rFonts w:hint="eastAsia"/>
          <w:b w:val="0"/>
        </w:rPr>
        <w:t>标准。</w:t>
      </w:r>
    </w:p>
    <w:p w14:paraId="0063595D"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十四、中度重症肌无力</w:t>
      </w:r>
    </w:p>
    <w:p w14:paraId="7E67EBA2"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是一种神经与肌肉接头部位传递障碍的自身免疫性疾病，临床特征是局部或全身横纹肌于活动时易于疲劳无力，颅神经眼外肌最易累及，也可涉及呼吸肌、下肢近端肌群以至全身肌肉。</w:t>
      </w:r>
    </w:p>
    <w:p w14:paraId="73C799CD" w14:textId="7598AA52" w:rsidR="008F265F" w:rsidRDefault="00A542E4">
      <w:pPr>
        <w:pStyle w:val="30"/>
        <w:numPr>
          <w:ilvl w:val="0"/>
          <w:numId w:val="0"/>
        </w:numPr>
        <w:spacing w:beforeLines="50" w:before="156"/>
        <w:ind w:firstLineChars="200" w:firstLine="420"/>
        <w:rPr>
          <w:b w:val="0"/>
        </w:rPr>
      </w:pPr>
      <w:r>
        <w:rPr>
          <w:rFonts w:hint="eastAsia"/>
          <w:b w:val="0"/>
          <w:bCs w:val="0"/>
        </w:rPr>
        <w:t>该病必须由我们认可的医院的专科医生明确诊断，且疾病确诊180天后，仍然存在自主生活能力部分丧失，经鉴定无法独立完成六项基本日常生活</w:t>
      </w:r>
      <w:r>
        <w:rPr>
          <w:rFonts w:hint="eastAsia"/>
          <w:b w:val="0"/>
          <w:bCs w:val="0"/>
        </w:rPr>
        <w:lastRenderedPageBreak/>
        <w:t>活动中的二项，但未达到本主险合同所指重大疾病“全身性（型）重症肌无力”或“瘫痪”的</w:t>
      </w:r>
      <w:r w:rsidR="00E76584">
        <w:rPr>
          <w:rFonts w:hint="eastAsia"/>
          <w:b w:val="0"/>
          <w:bCs w:val="0"/>
        </w:rPr>
        <w:t>给付</w:t>
      </w:r>
      <w:r>
        <w:rPr>
          <w:rFonts w:hint="eastAsia"/>
          <w:b w:val="0"/>
          <w:bCs w:val="0"/>
        </w:rPr>
        <w:t>标准。</w:t>
      </w:r>
    </w:p>
    <w:p w14:paraId="4B644C53"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十五、中度溃疡性结肠炎</w:t>
      </w:r>
    </w:p>
    <w:p w14:paraId="61D0F9EC"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本主险合同所保障的溃疡性结肠炎是指伴有致命性电解质紊乱的急性暴发性溃疡性结肠炎，病变累及全结肠，表现为严重的血便和系统性症状体征和肠破裂的风险。</w:t>
      </w:r>
    </w:p>
    <w:p w14:paraId="2910B08C" w14:textId="10B6194D" w:rsidR="008F265F" w:rsidRDefault="00A542E4">
      <w:pPr>
        <w:pStyle w:val="30"/>
        <w:numPr>
          <w:ilvl w:val="0"/>
          <w:numId w:val="0"/>
        </w:numPr>
        <w:spacing w:beforeLines="50" w:before="156"/>
        <w:ind w:firstLineChars="200" w:firstLine="420"/>
        <w:rPr>
          <w:b w:val="0"/>
          <w:bCs w:val="0"/>
        </w:rPr>
      </w:pPr>
      <w:r>
        <w:rPr>
          <w:rFonts w:hint="eastAsia"/>
          <w:b w:val="0"/>
          <w:bCs w:val="0"/>
        </w:rPr>
        <w:t>本疾病的确诊必须经由内窥镜检查证实该疾病侵犯全部结肠及直肠及活体切片检查证实为溃疡性结肠炎。且须经肠胃专科医生连续以系统性免疫抑制剂或免疫调节剂持续治疗最少90天，但未达到本主险合同所指重大疾病“严重溃疡性结肠炎”的</w:t>
      </w:r>
      <w:r w:rsidR="00E76584">
        <w:rPr>
          <w:rFonts w:hint="eastAsia"/>
          <w:b w:val="0"/>
          <w:bCs w:val="0"/>
        </w:rPr>
        <w:t>给付</w:t>
      </w:r>
      <w:r>
        <w:rPr>
          <w:rFonts w:hint="eastAsia"/>
          <w:b w:val="0"/>
          <w:bCs w:val="0"/>
        </w:rPr>
        <w:t>标准，才符合本保障范围。</w:t>
      </w:r>
    </w:p>
    <w:p w14:paraId="0051AE39"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其他种类的炎性结肠炎，只发生在直肠的溃疡性结肠炎均不在保障范围内。</w:t>
      </w:r>
    </w:p>
    <w:p w14:paraId="58957F7F"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十六、出血性登革热</w:t>
      </w:r>
    </w:p>
    <w:p w14:paraId="7A490D37"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出血性登革热须出现全部四种症状，包括发高烧、出血现象、肝肿大和循环衰竭（登革热休克综合症即符合WHO登革热第Ⅲ级），但未达到“严重出血性登革热”的给付标准。</w:t>
      </w:r>
    </w:p>
    <w:p w14:paraId="5F8CFCA7"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出血性登革热的诊断必须由我们认可的医院的专科医生证实。</w:t>
      </w:r>
    </w:p>
    <w:p w14:paraId="3EC56E4E"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非出血性登革热不在保障范围内。</w:t>
      </w:r>
    </w:p>
    <w:p w14:paraId="372585CC"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十七、特定周围动脉疾病的血管介入治疗</w:t>
      </w:r>
    </w:p>
    <w:p w14:paraId="358AA652" w14:textId="77777777" w:rsidR="008F265F" w:rsidRDefault="00A542E4">
      <w:pPr>
        <w:pStyle w:val="30"/>
        <w:numPr>
          <w:ilvl w:val="0"/>
          <w:numId w:val="0"/>
        </w:numPr>
        <w:tabs>
          <w:tab w:val="clear" w:pos="420"/>
          <w:tab w:val="clear" w:pos="562"/>
        </w:tabs>
        <w:spacing w:beforeLines="50" w:before="156"/>
        <w:ind w:left="562" w:hanging="136"/>
        <w:rPr>
          <w:b w:val="0"/>
          <w:bCs w:val="0"/>
        </w:rPr>
      </w:pPr>
      <w:r>
        <w:rPr>
          <w:rFonts w:hint="eastAsia"/>
          <w:b w:val="0"/>
          <w:bCs w:val="0"/>
        </w:rPr>
        <w:t>指为治疗一条或者一条以上的下列动脉狭窄而实施的血管介入治疗：</w:t>
      </w:r>
    </w:p>
    <w:p w14:paraId="231B6F02" w14:textId="77777777" w:rsidR="008F265F" w:rsidRDefault="00A542E4">
      <w:pPr>
        <w:pStyle w:val="30"/>
        <w:numPr>
          <w:ilvl w:val="0"/>
          <w:numId w:val="0"/>
        </w:numPr>
        <w:spacing w:beforeLines="0" w:before="0"/>
        <w:ind w:firstLineChars="200" w:firstLine="420"/>
        <w:rPr>
          <w:b w:val="0"/>
          <w:bCs w:val="0"/>
        </w:rPr>
      </w:pPr>
      <w:r>
        <w:rPr>
          <w:rFonts w:hint="eastAsia"/>
          <w:b w:val="0"/>
          <w:bCs w:val="0"/>
        </w:rPr>
        <w:lastRenderedPageBreak/>
        <w:t>1</w:t>
      </w:r>
      <w:r>
        <w:rPr>
          <w:b w:val="0"/>
          <w:bCs w:val="0"/>
        </w:rPr>
        <w:t>.</w:t>
      </w:r>
      <w:r>
        <w:rPr>
          <w:rFonts w:hint="eastAsia"/>
          <w:b w:val="0"/>
          <w:bCs w:val="0"/>
        </w:rPr>
        <w:t>为下肢或者上肢供血的动脉；</w:t>
      </w:r>
    </w:p>
    <w:p w14:paraId="6E7E63AF" w14:textId="77777777" w:rsidR="008F265F" w:rsidRDefault="00A542E4">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肾动脉；</w:t>
      </w:r>
    </w:p>
    <w:p w14:paraId="01C3271D" w14:textId="77777777" w:rsidR="008F265F" w:rsidRDefault="00A542E4">
      <w:pPr>
        <w:pStyle w:val="30"/>
        <w:numPr>
          <w:ilvl w:val="0"/>
          <w:numId w:val="0"/>
        </w:numPr>
        <w:spacing w:beforeLines="0" w:before="0"/>
        <w:ind w:firstLineChars="200" w:firstLine="420"/>
        <w:rPr>
          <w:b w:val="0"/>
          <w:bCs w:val="0"/>
        </w:rPr>
      </w:pPr>
      <w:r>
        <w:rPr>
          <w:rFonts w:hint="eastAsia"/>
          <w:b w:val="0"/>
          <w:bCs w:val="0"/>
        </w:rPr>
        <w:t>3</w:t>
      </w:r>
      <w:r>
        <w:rPr>
          <w:b w:val="0"/>
          <w:bCs w:val="0"/>
        </w:rPr>
        <w:t>.</w:t>
      </w:r>
      <w:r>
        <w:rPr>
          <w:rFonts w:hint="eastAsia"/>
          <w:b w:val="0"/>
          <w:bCs w:val="0"/>
        </w:rPr>
        <w:t>肠系膜动脉。</w:t>
      </w:r>
    </w:p>
    <w:p w14:paraId="36C044CC"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须满足下列全部条件：</w:t>
      </w:r>
    </w:p>
    <w:p w14:paraId="091C27F9" w14:textId="77777777" w:rsidR="008F265F" w:rsidRDefault="00A542E4">
      <w:pPr>
        <w:pStyle w:val="30"/>
        <w:numPr>
          <w:ilvl w:val="0"/>
          <w:numId w:val="0"/>
        </w:numPr>
        <w:spacing w:beforeLines="0" w:before="0"/>
        <w:ind w:firstLineChars="200" w:firstLine="420"/>
        <w:rPr>
          <w:b w:val="0"/>
          <w:bCs w:val="0"/>
        </w:rPr>
      </w:pPr>
      <w:r>
        <w:rPr>
          <w:rFonts w:hint="eastAsia"/>
          <w:b w:val="0"/>
          <w:bCs w:val="0"/>
        </w:rPr>
        <w:t>1</w:t>
      </w:r>
      <w:r>
        <w:rPr>
          <w:b w:val="0"/>
          <w:bCs w:val="0"/>
        </w:rPr>
        <w:t>.</w:t>
      </w:r>
      <w:r>
        <w:rPr>
          <w:rFonts w:hint="eastAsia"/>
          <w:b w:val="0"/>
          <w:bCs w:val="0"/>
        </w:rPr>
        <w:t>经血管造影术证实一条或者一条以上的上述动脉狭窄达到</w:t>
      </w:r>
      <w:r>
        <w:rPr>
          <w:b w:val="0"/>
          <w:bCs w:val="0"/>
        </w:rPr>
        <w:t>50%</w:t>
      </w:r>
      <w:r>
        <w:rPr>
          <w:rFonts w:hint="eastAsia"/>
          <w:b w:val="0"/>
          <w:bCs w:val="0"/>
        </w:rPr>
        <w:t>或者以上；</w:t>
      </w:r>
    </w:p>
    <w:p w14:paraId="1836281E" w14:textId="77777777" w:rsidR="008F265F" w:rsidRDefault="00A542E4">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对一条或者一条以上的上述动脉施行了血管介入治疗，如血管成形术及</w:t>
      </w:r>
      <w:r>
        <w:rPr>
          <w:b w:val="0"/>
          <w:bCs w:val="0"/>
        </w:rPr>
        <w:t>/</w:t>
      </w:r>
      <w:r>
        <w:rPr>
          <w:rFonts w:hint="eastAsia"/>
          <w:b w:val="0"/>
          <w:bCs w:val="0"/>
        </w:rPr>
        <w:t>或者进行植入支架或者动脉粥样瘤清除手术。</w:t>
      </w:r>
    </w:p>
    <w:p w14:paraId="70ADC443" w14:textId="77777777" w:rsidR="008F265F" w:rsidRDefault="00A542E4">
      <w:pPr>
        <w:pStyle w:val="30"/>
        <w:numPr>
          <w:ilvl w:val="0"/>
          <w:numId w:val="0"/>
        </w:numPr>
        <w:spacing w:beforeLines="50" w:before="156"/>
        <w:ind w:firstLineChars="200" w:firstLine="420"/>
        <w:rPr>
          <w:b w:val="0"/>
          <w:bCs w:val="0"/>
          <w:shd w:val="pct10" w:color="auto" w:fill="FFFFFF"/>
        </w:rPr>
      </w:pPr>
      <w:r w:rsidRPr="003B685F">
        <w:rPr>
          <w:rFonts w:hint="eastAsia"/>
          <w:b w:val="0"/>
          <w:bCs w:val="0"/>
          <w:shd w:val="pct15" w:color="auto" w:fill="FFFFFF"/>
        </w:rPr>
        <w:t>此诊断及治疗均须在我们认可的医院内由血管疾病的专科医生认为是医疗必须的情况下进行。</w:t>
      </w:r>
    </w:p>
    <w:p w14:paraId="554F357A"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十八、于颈动脉进行血管成形术或内膜切除术</w:t>
      </w:r>
    </w:p>
    <w:p w14:paraId="5AC35BF7"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指根据颈动脉造影检查结果，确诊一条或以上颈动脉存在严重狭窄性病变（至少一支血管管腔直径减少50%以上）。本病须经国家机关认可的有合法资质的专科医生明确诊断，同时必须已经采取以下手术以减轻症状：</w:t>
      </w:r>
    </w:p>
    <w:p w14:paraId="13ABF9FC" w14:textId="77777777" w:rsidR="008F265F" w:rsidRDefault="00A542E4">
      <w:pPr>
        <w:pStyle w:val="30"/>
        <w:numPr>
          <w:ilvl w:val="0"/>
          <w:numId w:val="0"/>
        </w:numPr>
        <w:spacing w:beforeLines="0" w:before="0"/>
        <w:ind w:firstLineChars="200" w:firstLine="420"/>
        <w:rPr>
          <w:b w:val="0"/>
          <w:bCs w:val="0"/>
        </w:rPr>
      </w:pPr>
      <w:r>
        <w:rPr>
          <w:rFonts w:hint="eastAsia"/>
          <w:b w:val="0"/>
          <w:bCs w:val="0"/>
        </w:rPr>
        <w:t>1</w:t>
      </w:r>
      <w:r>
        <w:rPr>
          <w:b w:val="0"/>
          <w:bCs w:val="0"/>
        </w:rPr>
        <w:t>.</w:t>
      </w:r>
      <w:r>
        <w:rPr>
          <w:rFonts w:hint="eastAsia"/>
          <w:b w:val="0"/>
          <w:bCs w:val="0"/>
        </w:rPr>
        <w:t>确实进行动脉内膜切除术；</w:t>
      </w:r>
    </w:p>
    <w:p w14:paraId="47A1F790" w14:textId="77777777" w:rsidR="008F265F" w:rsidRDefault="00A542E4">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确实进行血管介入治疗，例如血管成形术及/或进行植入支架手术。</w:t>
      </w:r>
    </w:p>
    <w:p w14:paraId="2BA31FF0"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十九、单个肢体缺失</w:t>
      </w:r>
    </w:p>
    <w:p w14:paraId="2C0CFEC0" w14:textId="77777777" w:rsidR="008F265F" w:rsidRDefault="00A542E4">
      <w:pPr>
        <w:spacing w:beforeLines="50" w:before="156"/>
        <w:ind w:firstLineChars="200" w:firstLine="420"/>
        <w:jc w:val="left"/>
        <w:rPr>
          <w:rFonts w:ascii="宋体" w:hAnsi="宋体"/>
        </w:rPr>
      </w:pPr>
      <w:r>
        <w:rPr>
          <w:rFonts w:ascii="宋体" w:hAnsi="宋体" w:hint="eastAsia"/>
        </w:rPr>
        <w:t>指一个肢体自腕关节或踝关节近端（靠近躯干端）以上完全性断离，并且未达到本主险合同所指重大疾病“多个肢体缺失”或“失去一肢及一眼”的给付标准。</w:t>
      </w:r>
    </w:p>
    <w:p w14:paraId="0995C6F2" w14:textId="77777777" w:rsidR="008F265F" w:rsidRPr="003B685F" w:rsidRDefault="00A542E4">
      <w:pPr>
        <w:pStyle w:val="30"/>
        <w:numPr>
          <w:ilvl w:val="0"/>
          <w:numId w:val="0"/>
        </w:numPr>
        <w:spacing w:beforeLines="50" w:before="156"/>
        <w:ind w:firstLineChars="200" w:firstLine="420"/>
        <w:rPr>
          <w:rFonts w:eastAsiaTheme="minorEastAsia"/>
          <w:shd w:val="pct15" w:color="auto" w:fill="FFFFFF"/>
        </w:rPr>
      </w:pPr>
      <w:r w:rsidRPr="003B685F">
        <w:rPr>
          <w:rFonts w:hint="eastAsia"/>
          <w:b w:val="0"/>
          <w:bCs w:val="0"/>
          <w:shd w:val="pct15" w:color="auto" w:fill="FFFFFF"/>
        </w:rPr>
        <w:t>因恶性肿瘤导致的单个肢体缺失不在保障范围内。</w:t>
      </w:r>
    </w:p>
    <w:p w14:paraId="51FDF86C" w14:textId="77777777" w:rsidR="008F265F" w:rsidRDefault="00A542E4">
      <w:pPr>
        <w:pStyle w:val="30"/>
        <w:numPr>
          <w:ilvl w:val="0"/>
          <w:numId w:val="0"/>
        </w:numPr>
        <w:tabs>
          <w:tab w:val="clear" w:pos="420"/>
          <w:tab w:val="clear" w:pos="562"/>
        </w:tabs>
        <w:spacing w:beforeLines="50" w:before="156"/>
        <w:ind w:left="562" w:hanging="136"/>
        <w:rPr>
          <w:rFonts w:eastAsiaTheme="minorEastAsia"/>
          <w:shd w:val="pct10" w:color="auto" w:fill="FFFFFF"/>
        </w:rPr>
      </w:pPr>
      <w:r>
        <w:rPr>
          <w:rFonts w:hint="eastAsia"/>
          <w:b w:val="0"/>
        </w:rPr>
        <w:lastRenderedPageBreak/>
        <w:t>二十、中度脑炎后遗症或中度脑膜炎后遗症</w:t>
      </w:r>
    </w:p>
    <w:p w14:paraId="17301E27"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指因患脑炎或脑膜炎导致的神经系统永久性的功能障碍。</w:t>
      </w:r>
    </w:p>
    <w:p w14:paraId="2C018C9F"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神经系统永久性的功能障碍，指经相关专科医生确诊疾病180天后，仍存在自主生活能力部分丧失，无法独立完成六项基本日常生活活动中的两项，并且未达到本主险合同所指重大疾病“严重脑炎后遗症或严重脑膜炎后遗症”或“瘫痪”的给付标准。</w:t>
      </w:r>
    </w:p>
    <w:p w14:paraId="527C6A0E"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二十一、昏迷7</w:t>
      </w:r>
      <w:r>
        <w:rPr>
          <w:b w:val="0"/>
        </w:rPr>
        <w:t>2小时</w:t>
      </w:r>
    </w:p>
    <w:p w14:paraId="09FD8111" w14:textId="6B3F6ADA" w:rsidR="008F265F" w:rsidRDefault="00A542E4">
      <w:pPr>
        <w:pStyle w:val="30"/>
        <w:numPr>
          <w:ilvl w:val="0"/>
          <w:numId w:val="0"/>
        </w:numPr>
        <w:spacing w:beforeLines="50" w:before="156"/>
        <w:ind w:firstLineChars="200" w:firstLine="420"/>
        <w:rPr>
          <w:b w:val="0"/>
          <w:bCs w:val="0"/>
        </w:rPr>
      </w:pPr>
      <w:r>
        <w:rPr>
          <w:rFonts w:hint="eastAsia"/>
          <w:b w:val="0"/>
          <w:bCs w:val="0"/>
        </w:rPr>
        <w:t>指因疾病或意外伤害导致意识丧失，对外界刺激和体内需求均无反应，昏迷程度按照格拉斯哥昏迷分级（GCS，Glasgow Coma Scale）结果为5分或5分以下，且已经持续使用呼吸机及其他生命维持系统72小时以上，但未达到本主险合同所指重大疾病“深度昏迷”的</w:t>
      </w:r>
      <w:r w:rsidR="00E76584">
        <w:rPr>
          <w:rFonts w:hint="eastAsia"/>
          <w:b w:val="0"/>
          <w:bCs w:val="0"/>
        </w:rPr>
        <w:t>给付</w:t>
      </w:r>
      <w:r>
        <w:rPr>
          <w:rFonts w:hint="eastAsia"/>
          <w:b w:val="0"/>
          <w:bCs w:val="0"/>
        </w:rPr>
        <w:t>标准。</w:t>
      </w:r>
    </w:p>
    <w:p w14:paraId="5D4D24D1"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因酗酒或药物滥用导致的昏迷7</w:t>
      </w:r>
      <w:r w:rsidRPr="003B685F">
        <w:rPr>
          <w:b w:val="0"/>
          <w:bCs w:val="0"/>
          <w:shd w:val="pct15" w:color="auto" w:fill="FFFFFF"/>
        </w:rPr>
        <w:t>2小时</w:t>
      </w:r>
      <w:r w:rsidRPr="003B685F">
        <w:rPr>
          <w:rFonts w:hint="eastAsia"/>
          <w:b w:val="0"/>
          <w:bCs w:val="0"/>
          <w:shd w:val="pct15" w:color="auto" w:fill="FFFFFF"/>
        </w:rPr>
        <w:t>不在保障范围内。</w:t>
      </w:r>
    </w:p>
    <w:p w14:paraId="738A563E" w14:textId="77777777" w:rsidR="008F265F" w:rsidRDefault="00A542E4">
      <w:pPr>
        <w:pStyle w:val="30"/>
        <w:numPr>
          <w:ilvl w:val="0"/>
          <w:numId w:val="0"/>
        </w:numPr>
        <w:tabs>
          <w:tab w:val="clear" w:pos="420"/>
          <w:tab w:val="clear" w:pos="562"/>
        </w:tabs>
        <w:spacing w:beforeLines="50" w:before="156"/>
        <w:ind w:left="562" w:hanging="136"/>
        <w:rPr>
          <w:b w:val="0"/>
        </w:rPr>
      </w:pPr>
      <w:r>
        <w:rPr>
          <w:rFonts w:hint="eastAsia"/>
          <w:b w:val="0"/>
        </w:rPr>
        <w:t>二十二、中度克罗恩病</w:t>
      </w:r>
    </w:p>
    <w:p w14:paraId="1D1B6D14" w14:textId="0E6AF704" w:rsidR="008F265F" w:rsidRDefault="00A542E4">
      <w:pPr>
        <w:pStyle w:val="30"/>
        <w:numPr>
          <w:ilvl w:val="0"/>
          <w:numId w:val="0"/>
        </w:numPr>
        <w:spacing w:beforeLines="50" w:before="156"/>
        <w:ind w:firstLineChars="200" w:firstLine="420"/>
        <w:rPr>
          <w:b w:val="0"/>
          <w:bCs w:val="0"/>
        </w:rPr>
      </w:pPr>
      <w:r>
        <w:rPr>
          <w:rFonts w:hint="eastAsia"/>
          <w:b w:val="0"/>
          <w:bCs w:val="0"/>
        </w:rPr>
        <w:t>指一种慢性肉芽肿性肠炎，具有特征性的克罗恩病（</w:t>
      </w:r>
      <w:r>
        <w:rPr>
          <w:b w:val="0"/>
          <w:bCs w:val="0"/>
        </w:rPr>
        <w:t>Crohn</w:t>
      </w:r>
      <w:r>
        <w:rPr>
          <w:rFonts w:hint="eastAsia"/>
          <w:b w:val="0"/>
          <w:bCs w:val="0"/>
        </w:rPr>
        <w:t>病）病理组织学变化，须根据组织病理学特点诊断，并因病情需要以类固醇或免疫抑制剂连续治疗</w:t>
      </w:r>
      <w:r>
        <w:rPr>
          <w:b w:val="0"/>
          <w:bCs w:val="0"/>
        </w:rPr>
        <w:t>180天以上，但未达到本</w:t>
      </w:r>
      <w:r>
        <w:rPr>
          <w:rFonts w:hint="eastAsia"/>
          <w:b w:val="0"/>
          <w:bCs w:val="0"/>
        </w:rPr>
        <w:t>主险合同所指重大疾病“严重克罗恩病”的</w:t>
      </w:r>
      <w:r w:rsidR="00E76584">
        <w:rPr>
          <w:rFonts w:hint="eastAsia"/>
          <w:b w:val="0"/>
          <w:bCs w:val="0"/>
        </w:rPr>
        <w:t>给付</w:t>
      </w:r>
      <w:r>
        <w:rPr>
          <w:rFonts w:hint="eastAsia"/>
          <w:b w:val="0"/>
          <w:bCs w:val="0"/>
        </w:rPr>
        <w:t>标准。</w:t>
      </w:r>
    </w:p>
    <w:p w14:paraId="4034691D" w14:textId="77777777" w:rsidR="008F265F" w:rsidRPr="003B685F" w:rsidRDefault="00A542E4">
      <w:pPr>
        <w:pStyle w:val="30"/>
        <w:numPr>
          <w:ilvl w:val="0"/>
          <w:numId w:val="0"/>
        </w:numPr>
        <w:spacing w:beforeLines="50" w:before="156"/>
        <w:ind w:firstLineChars="200" w:firstLine="420"/>
        <w:rPr>
          <w:b w:val="0"/>
          <w:bCs w:val="0"/>
          <w:shd w:val="pct15" w:color="auto" w:fill="FFFFFF"/>
        </w:rPr>
      </w:pPr>
      <w:r w:rsidRPr="003B685F">
        <w:rPr>
          <w:rFonts w:hint="eastAsia"/>
          <w:b w:val="0"/>
          <w:bCs w:val="0"/>
          <w:shd w:val="pct15" w:color="auto" w:fill="FFFFFF"/>
        </w:rPr>
        <w:t>对于“中度克罗恩病”和因克罗恩病所致的“中度小肠损害并发症”，我们仅承担其中一项保险责任。</w:t>
      </w:r>
    </w:p>
    <w:p w14:paraId="35B15700" w14:textId="77777777" w:rsidR="008F265F" w:rsidRDefault="00A542E4">
      <w:pPr>
        <w:pStyle w:val="30"/>
        <w:numPr>
          <w:ilvl w:val="0"/>
          <w:numId w:val="0"/>
        </w:numPr>
        <w:spacing w:beforeLines="50" w:before="156"/>
        <w:ind w:firstLineChars="200" w:firstLine="420"/>
        <w:rPr>
          <w:b w:val="0"/>
          <w:bCs w:val="0"/>
        </w:rPr>
      </w:pPr>
      <w:r>
        <w:rPr>
          <w:rFonts w:hint="eastAsia"/>
          <w:b w:val="0"/>
        </w:rPr>
        <w:t>二十三、中度慢性呼吸功能衰竭</w:t>
      </w:r>
    </w:p>
    <w:p w14:paraId="6F637031" w14:textId="022E0AF3" w:rsidR="008F265F" w:rsidRDefault="00A542E4">
      <w:pPr>
        <w:pStyle w:val="30"/>
        <w:numPr>
          <w:ilvl w:val="0"/>
          <w:numId w:val="0"/>
        </w:numPr>
        <w:spacing w:beforeLines="50" w:before="156"/>
        <w:ind w:firstLineChars="200" w:firstLine="420"/>
        <w:rPr>
          <w:b w:val="0"/>
          <w:bCs w:val="0"/>
        </w:rPr>
      </w:pPr>
      <w:r>
        <w:rPr>
          <w:rFonts w:hint="eastAsia"/>
          <w:b w:val="0"/>
          <w:bCs w:val="0"/>
        </w:rPr>
        <w:lastRenderedPageBreak/>
        <w:t>指因慢性呼吸系统疾病导致永久不可逆的呼吸功能衰竭，但未达到本主险合同所指重大疾病“严重慢性呼吸衰竭”或“严重继发性肺动脉高压”的</w:t>
      </w:r>
      <w:r w:rsidR="00E76584">
        <w:rPr>
          <w:rFonts w:hint="eastAsia"/>
          <w:b w:val="0"/>
          <w:bCs w:val="0"/>
        </w:rPr>
        <w:t>给付</w:t>
      </w:r>
      <w:r>
        <w:rPr>
          <w:rFonts w:hint="eastAsia"/>
          <w:b w:val="0"/>
          <w:bCs w:val="0"/>
        </w:rPr>
        <w:t>标准，且诊断必须满足以下所有条件：</w:t>
      </w:r>
    </w:p>
    <w:p w14:paraId="54D3F5CB" w14:textId="77777777" w:rsidR="008F265F" w:rsidRDefault="00A542E4">
      <w:pPr>
        <w:pStyle w:val="30"/>
        <w:numPr>
          <w:ilvl w:val="0"/>
          <w:numId w:val="0"/>
        </w:numPr>
        <w:spacing w:beforeLines="0" w:before="0"/>
        <w:ind w:firstLineChars="200" w:firstLine="420"/>
        <w:rPr>
          <w:b w:val="0"/>
          <w:bCs w:val="0"/>
        </w:rPr>
      </w:pPr>
      <w:r>
        <w:rPr>
          <w:rFonts w:hint="eastAsia"/>
          <w:b w:val="0"/>
          <w:bCs w:val="0"/>
        </w:rPr>
        <w:t>1</w:t>
      </w:r>
      <w:r>
        <w:rPr>
          <w:b w:val="0"/>
          <w:bCs w:val="0"/>
        </w:rPr>
        <w:t>.</w:t>
      </w:r>
      <w:r>
        <w:rPr>
          <w:rFonts w:hint="eastAsia"/>
          <w:b w:val="0"/>
          <w:bCs w:val="0"/>
        </w:rPr>
        <w:t>第一秒末用力呼吸量（FEV</w:t>
      </w:r>
      <w:r>
        <w:rPr>
          <w:b w:val="0"/>
          <w:bCs w:val="0"/>
          <w:vertAlign w:val="subscript"/>
        </w:rPr>
        <w:t>1</w:t>
      </w:r>
      <w:r>
        <w:rPr>
          <w:rFonts w:hint="eastAsia"/>
          <w:b w:val="0"/>
          <w:bCs w:val="0"/>
        </w:rPr>
        <w:t>）小于1升；</w:t>
      </w:r>
    </w:p>
    <w:p w14:paraId="62895F76" w14:textId="77777777" w:rsidR="008F265F" w:rsidRDefault="00A542E4">
      <w:pPr>
        <w:pStyle w:val="30"/>
        <w:numPr>
          <w:ilvl w:val="0"/>
          <w:numId w:val="0"/>
        </w:numPr>
        <w:spacing w:beforeLines="0" w:before="0"/>
        <w:ind w:firstLineChars="200" w:firstLine="420"/>
        <w:rPr>
          <w:b w:val="0"/>
          <w:bCs w:val="0"/>
        </w:rPr>
      </w:pPr>
      <w:r>
        <w:rPr>
          <w:rFonts w:hint="eastAsia"/>
          <w:b w:val="0"/>
          <w:bCs w:val="0"/>
        </w:rPr>
        <w:t>2</w:t>
      </w:r>
      <w:r>
        <w:rPr>
          <w:b w:val="0"/>
          <w:bCs w:val="0"/>
        </w:rPr>
        <w:t>.</w:t>
      </w:r>
      <w:r>
        <w:rPr>
          <w:rFonts w:hint="eastAsia"/>
          <w:b w:val="0"/>
          <w:bCs w:val="0"/>
        </w:rPr>
        <w:t>残气容积占肺总量（TLC）的50%以上；</w:t>
      </w:r>
    </w:p>
    <w:p w14:paraId="4B200F3A" w14:textId="77777777" w:rsidR="008F265F" w:rsidRDefault="00A542E4">
      <w:pPr>
        <w:pStyle w:val="30"/>
        <w:numPr>
          <w:ilvl w:val="0"/>
          <w:numId w:val="0"/>
        </w:numPr>
        <w:spacing w:beforeLines="0" w:before="0"/>
        <w:ind w:firstLineChars="200" w:firstLine="420"/>
        <w:rPr>
          <w:b w:val="0"/>
          <w:bCs w:val="0"/>
        </w:rPr>
      </w:pPr>
      <w:r>
        <w:rPr>
          <w:rFonts w:hint="eastAsia"/>
          <w:b w:val="0"/>
          <w:bCs w:val="0"/>
        </w:rPr>
        <w:t>3</w:t>
      </w:r>
      <w:r>
        <w:rPr>
          <w:b w:val="0"/>
          <w:bCs w:val="0"/>
        </w:rPr>
        <w:t>.</w:t>
      </w:r>
      <w:r>
        <w:rPr>
          <w:rFonts w:hint="eastAsia"/>
          <w:b w:val="0"/>
          <w:bCs w:val="0"/>
        </w:rPr>
        <w:t>PaO</w:t>
      </w:r>
      <w:r>
        <w:rPr>
          <w:b w:val="0"/>
          <w:bCs w:val="0"/>
          <w:vertAlign w:val="subscript"/>
        </w:rPr>
        <w:t>2</w:t>
      </w:r>
      <w:r>
        <w:rPr>
          <w:b w:val="0"/>
          <w:bCs w:val="0"/>
        </w:rPr>
        <w:t>＜</w:t>
      </w:r>
      <w:r>
        <w:rPr>
          <w:rFonts w:hint="eastAsia"/>
          <w:b w:val="0"/>
          <w:bCs w:val="0"/>
        </w:rPr>
        <w:t>60mmHg。</w:t>
      </w:r>
    </w:p>
    <w:p w14:paraId="27F50A59" w14:textId="77777777" w:rsidR="008F265F" w:rsidRDefault="00A542E4">
      <w:pPr>
        <w:pStyle w:val="30"/>
        <w:numPr>
          <w:ilvl w:val="0"/>
          <w:numId w:val="0"/>
        </w:numPr>
        <w:spacing w:beforeLines="50" w:before="156"/>
        <w:ind w:firstLineChars="200" w:firstLine="420"/>
        <w:rPr>
          <w:b w:val="0"/>
        </w:rPr>
      </w:pPr>
      <w:r>
        <w:rPr>
          <w:rFonts w:hint="eastAsia"/>
          <w:b w:val="0"/>
        </w:rPr>
        <w:t>二十四、一侧肾切除</w:t>
      </w:r>
    </w:p>
    <w:p w14:paraId="7E9ACFD8" w14:textId="77777777" w:rsidR="008F265F" w:rsidRDefault="00A542E4">
      <w:pPr>
        <w:pStyle w:val="30"/>
        <w:numPr>
          <w:ilvl w:val="0"/>
          <w:numId w:val="0"/>
        </w:numPr>
        <w:spacing w:beforeLines="50" w:before="156"/>
        <w:ind w:firstLineChars="202" w:firstLine="424"/>
        <w:rPr>
          <w:b w:val="0"/>
        </w:rPr>
      </w:pPr>
      <w:r>
        <w:rPr>
          <w:rFonts w:hint="eastAsia"/>
          <w:b w:val="0"/>
        </w:rPr>
        <w:t>指因疾病或意外伤害导致肾脏严重损害，实际实施了左侧全肾切除手术或右侧全肾切除手术。</w:t>
      </w:r>
    </w:p>
    <w:p w14:paraId="142497AB" w14:textId="77777777" w:rsidR="008F265F" w:rsidRPr="003B685F" w:rsidRDefault="00A542E4">
      <w:pPr>
        <w:pStyle w:val="30"/>
        <w:numPr>
          <w:ilvl w:val="0"/>
          <w:numId w:val="0"/>
        </w:numPr>
        <w:spacing w:beforeLines="50" w:before="156"/>
        <w:ind w:firstLineChars="202" w:firstLine="424"/>
        <w:rPr>
          <w:b w:val="0"/>
          <w:shd w:val="pct15" w:color="auto" w:fill="FFFFFF"/>
        </w:rPr>
      </w:pPr>
      <w:r w:rsidRPr="003B685F">
        <w:rPr>
          <w:rFonts w:hint="eastAsia"/>
          <w:b w:val="0"/>
          <w:shd w:val="pct15" w:color="auto" w:fill="FFFFFF"/>
        </w:rPr>
        <w:t>下列情况不在保障范围内：</w:t>
      </w:r>
    </w:p>
    <w:p w14:paraId="5ADB3AE2" w14:textId="77777777" w:rsidR="008F265F" w:rsidRPr="003B685F" w:rsidRDefault="00A542E4">
      <w:pPr>
        <w:pStyle w:val="30"/>
        <w:numPr>
          <w:ilvl w:val="0"/>
          <w:numId w:val="0"/>
        </w:numPr>
        <w:spacing w:beforeLines="0" w:before="0"/>
        <w:ind w:firstLineChars="200" w:firstLine="420"/>
        <w:rPr>
          <w:b w:val="0"/>
          <w:bCs w:val="0"/>
          <w:shd w:val="pct15" w:color="auto" w:fill="FFFFFF"/>
        </w:rPr>
      </w:pPr>
      <w:r w:rsidRPr="003B685F">
        <w:rPr>
          <w:b w:val="0"/>
          <w:bCs w:val="0"/>
          <w:shd w:val="pct15" w:color="auto" w:fill="FFFFFF"/>
        </w:rPr>
        <w:t>1.</w:t>
      </w:r>
      <w:r w:rsidRPr="003B685F">
        <w:rPr>
          <w:rFonts w:hint="eastAsia"/>
          <w:b w:val="0"/>
          <w:bCs w:val="0"/>
          <w:shd w:val="pct15" w:color="auto" w:fill="FFFFFF"/>
        </w:rPr>
        <w:t>部分肾切除手术；</w:t>
      </w:r>
    </w:p>
    <w:p w14:paraId="276EE00C" w14:textId="77777777" w:rsidR="008F265F" w:rsidRPr="003B685F" w:rsidRDefault="00A542E4">
      <w:pPr>
        <w:pStyle w:val="30"/>
        <w:numPr>
          <w:ilvl w:val="0"/>
          <w:numId w:val="0"/>
        </w:numPr>
        <w:spacing w:beforeLines="0" w:before="0"/>
        <w:ind w:firstLineChars="200" w:firstLine="420"/>
        <w:rPr>
          <w:b w:val="0"/>
          <w:bCs w:val="0"/>
          <w:shd w:val="pct15" w:color="auto" w:fill="FFFFFF"/>
        </w:rPr>
      </w:pPr>
      <w:r w:rsidRPr="003B685F">
        <w:rPr>
          <w:b w:val="0"/>
          <w:bCs w:val="0"/>
          <w:shd w:val="pct15" w:color="auto" w:fill="FFFFFF"/>
        </w:rPr>
        <w:t>2.</w:t>
      </w:r>
      <w:r w:rsidRPr="003B685F">
        <w:rPr>
          <w:rFonts w:hint="eastAsia"/>
          <w:b w:val="0"/>
          <w:bCs w:val="0"/>
          <w:shd w:val="pct15" w:color="auto" w:fill="FFFFFF"/>
        </w:rPr>
        <w:t>因恶性肿瘤进行的肾切除手术；</w:t>
      </w:r>
    </w:p>
    <w:p w14:paraId="6395EE12" w14:textId="77777777" w:rsidR="008F265F" w:rsidRPr="003B685F" w:rsidRDefault="00A542E4">
      <w:pPr>
        <w:pStyle w:val="30"/>
        <w:numPr>
          <w:ilvl w:val="0"/>
          <w:numId w:val="0"/>
        </w:numPr>
        <w:spacing w:beforeLines="0" w:before="0"/>
        <w:ind w:firstLineChars="200" w:firstLine="420"/>
        <w:rPr>
          <w:b w:val="0"/>
          <w:bCs w:val="0"/>
          <w:shd w:val="pct15" w:color="auto" w:fill="FFFFFF"/>
        </w:rPr>
      </w:pPr>
      <w:r w:rsidRPr="003B685F">
        <w:rPr>
          <w:b w:val="0"/>
          <w:bCs w:val="0"/>
          <w:shd w:val="pct15" w:color="auto" w:fill="FFFFFF"/>
        </w:rPr>
        <w:t>3.</w:t>
      </w:r>
      <w:r w:rsidRPr="003B685F">
        <w:rPr>
          <w:rFonts w:hint="eastAsia"/>
          <w:b w:val="0"/>
          <w:bCs w:val="0"/>
          <w:shd w:val="pct15" w:color="auto" w:fill="FFFFFF"/>
        </w:rPr>
        <w:t>肾移植接受者实施的肾切除手术；</w:t>
      </w:r>
    </w:p>
    <w:p w14:paraId="09DB0DD9" w14:textId="77777777" w:rsidR="008F265F" w:rsidRPr="003B685F" w:rsidRDefault="00A542E4">
      <w:pPr>
        <w:pStyle w:val="30"/>
        <w:numPr>
          <w:ilvl w:val="0"/>
          <w:numId w:val="0"/>
        </w:numPr>
        <w:spacing w:beforeLines="0" w:before="0"/>
        <w:ind w:firstLineChars="200" w:firstLine="420"/>
        <w:rPr>
          <w:b w:val="0"/>
          <w:bCs w:val="0"/>
          <w:shd w:val="pct15" w:color="auto" w:fill="FFFFFF"/>
        </w:rPr>
      </w:pPr>
      <w:r w:rsidRPr="003B685F">
        <w:rPr>
          <w:rFonts w:hint="eastAsia"/>
          <w:b w:val="0"/>
          <w:bCs w:val="0"/>
          <w:shd w:val="pct15" w:color="auto" w:fill="FFFFFF"/>
        </w:rPr>
        <w:t>4.作为器官捐献者而实施的肾切除手术。</w:t>
      </w:r>
    </w:p>
    <w:p w14:paraId="33AEE120" w14:textId="77777777" w:rsidR="008F265F" w:rsidRDefault="00A542E4">
      <w:pPr>
        <w:pStyle w:val="30"/>
        <w:numPr>
          <w:ilvl w:val="0"/>
          <w:numId w:val="0"/>
        </w:numPr>
        <w:spacing w:beforeLines="50" w:before="156"/>
        <w:ind w:firstLineChars="200" w:firstLine="420"/>
        <w:rPr>
          <w:b w:val="0"/>
        </w:rPr>
      </w:pPr>
      <w:r>
        <w:rPr>
          <w:rFonts w:hint="eastAsia"/>
          <w:b w:val="0"/>
        </w:rPr>
        <w:t>二十五、慢性肾衰竭</w:t>
      </w:r>
    </w:p>
    <w:p w14:paraId="56FF514E" w14:textId="77777777" w:rsidR="008F265F" w:rsidRDefault="00A542E4">
      <w:pPr>
        <w:pStyle w:val="30"/>
        <w:numPr>
          <w:ilvl w:val="0"/>
          <w:numId w:val="0"/>
        </w:numPr>
        <w:spacing w:beforeLines="50" w:before="156"/>
        <w:ind w:firstLine="420"/>
        <w:rPr>
          <w:b w:val="0"/>
        </w:rPr>
      </w:pPr>
      <w:r>
        <w:rPr>
          <w:rFonts w:hint="eastAsia"/>
          <w:b w:val="0"/>
        </w:rPr>
        <w:t>指双肾功能慢性不可逆性衰竭，且未达到本主险合同所指重大疾病“严重慢性肾衰竭”的给付标准。必须满足下列所有条件：</w:t>
      </w:r>
    </w:p>
    <w:p w14:paraId="1BDEFE85" w14:textId="77777777" w:rsidR="008F265F" w:rsidRDefault="00A542E4">
      <w:pPr>
        <w:pStyle w:val="30"/>
        <w:numPr>
          <w:ilvl w:val="0"/>
          <w:numId w:val="0"/>
        </w:numPr>
        <w:spacing w:beforeLines="0" w:before="0"/>
        <w:ind w:firstLineChars="200" w:firstLine="420"/>
        <w:rPr>
          <w:b w:val="0"/>
          <w:bCs w:val="0"/>
        </w:rPr>
      </w:pPr>
      <w:r>
        <w:rPr>
          <w:b w:val="0"/>
          <w:bCs w:val="0"/>
        </w:rPr>
        <w:t xml:space="preserve">1.依据肾脏病预后质量倡议（K/DOQI）制定的指南，分期达到慢性肾脏病 4 </w:t>
      </w:r>
      <w:r>
        <w:rPr>
          <w:rFonts w:hint="eastAsia"/>
          <w:b w:val="0"/>
          <w:bCs w:val="0"/>
        </w:rPr>
        <w:t>期，即肾小球滤过率（</w:t>
      </w:r>
      <w:r>
        <w:rPr>
          <w:b w:val="0"/>
          <w:bCs w:val="0"/>
        </w:rPr>
        <w:t>GFR）＜30ml/min，持续超过90日；</w:t>
      </w:r>
    </w:p>
    <w:p w14:paraId="54D6FE58" w14:textId="77777777" w:rsidR="008F265F" w:rsidRDefault="00A542E4">
      <w:pPr>
        <w:pStyle w:val="30"/>
        <w:numPr>
          <w:ilvl w:val="0"/>
          <w:numId w:val="0"/>
        </w:numPr>
        <w:spacing w:beforeLines="0" w:before="0"/>
        <w:ind w:firstLineChars="200" w:firstLine="420"/>
        <w:rPr>
          <w:b w:val="0"/>
          <w:bCs w:val="0"/>
        </w:rPr>
      </w:pPr>
      <w:r>
        <w:rPr>
          <w:b w:val="0"/>
          <w:bCs w:val="0"/>
        </w:rPr>
        <w:t>2.血肌</w:t>
      </w:r>
      <w:r>
        <w:rPr>
          <w:rFonts w:hint="eastAsia"/>
          <w:b w:val="0"/>
          <w:bCs w:val="0"/>
        </w:rPr>
        <w:t>酐（</w:t>
      </w:r>
      <w:r>
        <w:rPr>
          <w:b w:val="0"/>
          <w:bCs w:val="0"/>
        </w:rPr>
        <w:t xml:space="preserve">Scr）＞5mg/dl </w:t>
      </w:r>
      <w:r>
        <w:rPr>
          <w:rFonts w:hint="eastAsia"/>
          <w:b w:val="0"/>
          <w:bCs w:val="0"/>
        </w:rPr>
        <w:t>或</w:t>
      </w:r>
      <w:r>
        <w:rPr>
          <w:b w:val="0"/>
          <w:bCs w:val="0"/>
        </w:rPr>
        <w:t>＞442umol/L，持续超过90日。</w:t>
      </w:r>
    </w:p>
    <w:p w14:paraId="56E8617D" w14:textId="77777777" w:rsidR="008F265F" w:rsidRDefault="00A542E4">
      <w:pPr>
        <w:pStyle w:val="30"/>
        <w:numPr>
          <w:ilvl w:val="0"/>
          <w:numId w:val="0"/>
        </w:numPr>
        <w:spacing w:beforeLines="50" w:before="156"/>
        <w:ind w:firstLineChars="200" w:firstLine="420"/>
        <w:rPr>
          <w:b w:val="0"/>
        </w:rPr>
      </w:pPr>
      <w:r>
        <w:rPr>
          <w:rFonts w:hint="eastAsia"/>
          <w:b w:val="0"/>
        </w:rPr>
        <w:t>二十六、中度强直性脊柱炎</w:t>
      </w:r>
    </w:p>
    <w:p w14:paraId="2BF0EB5A" w14:textId="77777777" w:rsidR="008F265F" w:rsidRDefault="00A542E4">
      <w:pPr>
        <w:pStyle w:val="30"/>
        <w:numPr>
          <w:ilvl w:val="0"/>
          <w:numId w:val="0"/>
        </w:numPr>
        <w:spacing w:beforeLines="50" w:before="156"/>
        <w:ind w:firstLineChars="200" w:firstLine="420"/>
        <w:rPr>
          <w:b w:val="0"/>
          <w:bCs w:val="0"/>
        </w:rPr>
      </w:pPr>
      <w:r>
        <w:rPr>
          <w:rFonts w:hint="eastAsia"/>
          <w:b w:val="0"/>
          <w:bCs w:val="0"/>
        </w:rPr>
        <w:lastRenderedPageBreak/>
        <w:t>是一种慢性全身性炎性疾病，主要侵犯脊柱导致脊柱畸形。强直性脊柱炎必须由专科医生明确诊断，须满足下列所有条件，且未达到本主险合同所指重大疾病“严重强直性脊柱炎”的给付标准。</w:t>
      </w:r>
    </w:p>
    <w:p w14:paraId="5481A799" w14:textId="77777777" w:rsidR="008F265F" w:rsidRDefault="00A542E4">
      <w:pPr>
        <w:pStyle w:val="30"/>
        <w:numPr>
          <w:ilvl w:val="0"/>
          <w:numId w:val="0"/>
        </w:numPr>
        <w:spacing w:beforeLines="0" w:before="0"/>
        <w:ind w:firstLineChars="200" w:firstLine="420"/>
        <w:rPr>
          <w:b w:val="0"/>
          <w:bCs w:val="0"/>
        </w:rPr>
      </w:pPr>
      <w:r>
        <w:rPr>
          <w:rFonts w:hint="eastAsia"/>
          <w:b w:val="0"/>
          <w:bCs w:val="0"/>
        </w:rPr>
        <w:t>1.严重脊柱畸形；</w:t>
      </w:r>
    </w:p>
    <w:p w14:paraId="0D077280" w14:textId="77777777" w:rsidR="008F265F" w:rsidRDefault="00A542E4">
      <w:pPr>
        <w:pStyle w:val="30"/>
        <w:numPr>
          <w:ilvl w:val="0"/>
          <w:numId w:val="0"/>
        </w:numPr>
        <w:spacing w:beforeLines="0" w:before="0"/>
        <w:ind w:firstLineChars="200" w:firstLine="420"/>
        <w:rPr>
          <w:b w:val="0"/>
          <w:bCs w:val="0"/>
        </w:rPr>
      </w:pPr>
      <w:r>
        <w:rPr>
          <w:rFonts w:hint="eastAsia"/>
          <w:b w:val="0"/>
          <w:bCs w:val="0"/>
        </w:rPr>
        <w:t>2.自主生活能力部分丧失，无法独立完成六项基本日常生活活动中的两项或两项以上。</w:t>
      </w:r>
    </w:p>
    <w:p w14:paraId="71C04AC6" w14:textId="77777777" w:rsidR="008F265F" w:rsidRDefault="00A542E4">
      <w:pPr>
        <w:pStyle w:val="30"/>
        <w:numPr>
          <w:ilvl w:val="0"/>
          <w:numId w:val="0"/>
        </w:numPr>
        <w:spacing w:beforeLines="50" w:before="156"/>
        <w:ind w:firstLineChars="200" w:firstLine="420"/>
        <w:rPr>
          <w:b w:val="0"/>
        </w:rPr>
      </w:pPr>
      <w:r>
        <w:rPr>
          <w:rFonts w:hint="eastAsia"/>
          <w:b w:val="0"/>
        </w:rPr>
        <w:t>二十七、中度全身Ⅲ度烧伤</w:t>
      </w:r>
    </w:p>
    <w:p w14:paraId="7901898F"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指烧伤程度为Ⅲ度，且Ⅲ度烧伤的面积达到全身体表面积的15%或15%以上，且未达到本主险合同所指重大疾病“严重Ⅲ度烧伤”的给付标准。体表面积根据《中国新九分法》计算。</w:t>
      </w:r>
    </w:p>
    <w:p w14:paraId="4B072810" w14:textId="77777777" w:rsidR="008F265F" w:rsidRDefault="00A542E4">
      <w:pPr>
        <w:pStyle w:val="30"/>
        <w:numPr>
          <w:ilvl w:val="0"/>
          <w:numId w:val="0"/>
        </w:numPr>
        <w:spacing w:beforeLines="50" w:before="156"/>
        <w:ind w:firstLineChars="200" w:firstLine="420"/>
        <w:rPr>
          <w:b w:val="0"/>
        </w:rPr>
      </w:pPr>
      <w:r>
        <w:rPr>
          <w:rFonts w:hint="eastAsia"/>
          <w:b w:val="0"/>
        </w:rPr>
        <w:t>二十八、中度面部烧伤</w:t>
      </w:r>
    </w:p>
    <w:p w14:paraId="6C98C40D"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指烧伤程度为Ⅲ度，且面部Ⅲ度烧伤的面积达到面部表面积的60%或60%以上，但未达到本主险合同所指重大疾病“严重面部烧伤”的给付标准。</w:t>
      </w:r>
    </w:p>
    <w:p w14:paraId="3BA6298C" w14:textId="77777777" w:rsidR="008F265F" w:rsidRDefault="00A542E4">
      <w:pPr>
        <w:pStyle w:val="30"/>
        <w:numPr>
          <w:ilvl w:val="0"/>
          <w:numId w:val="0"/>
        </w:numPr>
        <w:spacing w:beforeLines="50" w:before="156"/>
        <w:ind w:firstLineChars="200" w:firstLine="420"/>
        <w:rPr>
          <w:b w:val="0"/>
        </w:rPr>
      </w:pPr>
      <w:r>
        <w:rPr>
          <w:rFonts w:hint="eastAsia"/>
          <w:b w:val="0"/>
        </w:rPr>
        <w:t>二十九、中度脊髓小脑共济失调</w:t>
      </w:r>
      <w:r>
        <w:rPr>
          <w:b w:val="0"/>
        </w:rPr>
        <w:t>/脊髓小脑变性症</w:t>
      </w:r>
    </w:p>
    <w:p w14:paraId="7094BF64"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中度脊髓小脑变性症为一组以小脑萎缩和共济失调为主要临床特点的疾病。必须符合所有以下条件，且未达到本主险合同所指重大疾病“严重脊髓小脑共济失调/脊髓小脑变性症——</w:t>
      </w:r>
      <w:r w:rsidRPr="003B685F">
        <w:rPr>
          <w:rFonts w:hint="eastAsia"/>
          <w:b w:val="0"/>
          <w:bCs w:val="0"/>
          <w:shd w:val="pct15" w:color="auto" w:fill="FFFFFF"/>
        </w:rPr>
        <w:t>二十二周岁前理赔</w:t>
      </w:r>
      <w:r>
        <w:rPr>
          <w:rFonts w:hint="eastAsia"/>
          <w:b w:val="0"/>
          <w:bCs w:val="0"/>
        </w:rPr>
        <w:t>”的给付标准。</w:t>
      </w:r>
    </w:p>
    <w:p w14:paraId="157F4FE0" w14:textId="77777777" w:rsidR="008F265F" w:rsidRDefault="00A542E4">
      <w:pPr>
        <w:pStyle w:val="30"/>
        <w:numPr>
          <w:ilvl w:val="0"/>
          <w:numId w:val="0"/>
        </w:numPr>
        <w:spacing w:beforeLines="0" w:before="0"/>
        <w:ind w:firstLineChars="200" w:firstLine="420"/>
        <w:rPr>
          <w:b w:val="0"/>
          <w:bCs w:val="0"/>
        </w:rPr>
      </w:pPr>
      <w:r>
        <w:rPr>
          <w:rFonts w:hint="eastAsia"/>
          <w:b w:val="0"/>
          <w:bCs w:val="0"/>
        </w:rPr>
        <w:t>1.必须由我们认可的神经内科医生确诊，并有以下全部证据支持：</w:t>
      </w:r>
    </w:p>
    <w:p w14:paraId="5027F142" w14:textId="77777777" w:rsidR="008F265F" w:rsidRDefault="00A542E4">
      <w:pPr>
        <w:pStyle w:val="30"/>
        <w:numPr>
          <w:ilvl w:val="0"/>
          <w:numId w:val="0"/>
        </w:numPr>
        <w:spacing w:beforeLines="0" w:before="0"/>
        <w:ind w:leftChars="100" w:left="210" w:firstLineChars="100" w:firstLine="210"/>
        <w:rPr>
          <w:b w:val="0"/>
          <w:bCs w:val="0"/>
        </w:rPr>
      </w:pPr>
      <w:r>
        <w:rPr>
          <w:rFonts w:hint="eastAsia"/>
          <w:b w:val="0"/>
          <w:bCs w:val="0"/>
        </w:rPr>
        <w:t>（1）影像学检查证实存在小脑萎缩；</w:t>
      </w:r>
    </w:p>
    <w:p w14:paraId="275F4340" w14:textId="77777777" w:rsidR="008F265F" w:rsidRDefault="00A542E4">
      <w:pPr>
        <w:pStyle w:val="30"/>
        <w:numPr>
          <w:ilvl w:val="0"/>
          <w:numId w:val="0"/>
        </w:numPr>
        <w:spacing w:beforeLines="0" w:before="0"/>
        <w:ind w:leftChars="100" w:left="210" w:firstLineChars="100" w:firstLine="210"/>
        <w:rPr>
          <w:b w:val="0"/>
          <w:bCs w:val="0"/>
        </w:rPr>
      </w:pPr>
      <w:r>
        <w:rPr>
          <w:rFonts w:hint="eastAsia"/>
          <w:b w:val="0"/>
          <w:bCs w:val="0"/>
        </w:rPr>
        <w:t>（2）临床表现存在共济失调、语言障碍和肌张力异常。</w:t>
      </w:r>
    </w:p>
    <w:p w14:paraId="0CA3B2AA" w14:textId="77777777" w:rsidR="008F265F" w:rsidRDefault="00A542E4">
      <w:pPr>
        <w:pStyle w:val="30"/>
        <w:numPr>
          <w:ilvl w:val="0"/>
          <w:numId w:val="0"/>
        </w:numPr>
        <w:spacing w:beforeLines="0" w:before="0"/>
        <w:ind w:firstLineChars="202" w:firstLine="424"/>
        <w:rPr>
          <w:b w:val="0"/>
          <w:bCs w:val="0"/>
        </w:rPr>
      </w:pPr>
      <w:r>
        <w:rPr>
          <w:rFonts w:hint="eastAsia"/>
          <w:b w:val="0"/>
          <w:bCs w:val="0"/>
        </w:rPr>
        <w:t>2.运动功能严重障碍，存在自主生活能力部分丧失，无法独立完成六项</w:t>
      </w:r>
      <w:r>
        <w:rPr>
          <w:rFonts w:hint="eastAsia"/>
          <w:b w:val="0"/>
          <w:bCs w:val="0"/>
        </w:rPr>
        <w:lastRenderedPageBreak/>
        <w:t>基本日常生活活动中的两项或两项以上。</w:t>
      </w:r>
    </w:p>
    <w:p w14:paraId="7F09D103" w14:textId="77777777" w:rsidR="008F265F" w:rsidRDefault="00A542E4">
      <w:pPr>
        <w:pStyle w:val="30"/>
        <w:numPr>
          <w:ilvl w:val="0"/>
          <w:numId w:val="0"/>
        </w:numPr>
        <w:spacing w:beforeLines="50" w:before="156"/>
        <w:ind w:firstLineChars="200" w:firstLine="420"/>
        <w:rPr>
          <w:b w:val="0"/>
        </w:rPr>
      </w:pPr>
      <w:r>
        <w:rPr>
          <w:rFonts w:hint="eastAsia"/>
          <w:b w:val="0"/>
        </w:rPr>
        <w:t>三十、中度多发性硬化</w:t>
      </w:r>
    </w:p>
    <w:p w14:paraId="36A45534" w14:textId="77777777" w:rsidR="008F265F" w:rsidRDefault="00A542E4">
      <w:pPr>
        <w:pStyle w:val="30"/>
        <w:numPr>
          <w:ilvl w:val="0"/>
          <w:numId w:val="0"/>
        </w:numPr>
        <w:spacing w:beforeLines="50" w:before="156"/>
        <w:ind w:firstLineChars="200" w:firstLine="420"/>
        <w:rPr>
          <w:b w:val="0"/>
          <w:bCs w:val="0"/>
        </w:rPr>
      </w:pPr>
      <w:r>
        <w:rPr>
          <w:rFonts w:hint="eastAsia"/>
          <w:b w:val="0"/>
          <w:bCs w:val="0"/>
        </w:rPr>
        <w:t>多发性硬化是一种以中枢神经系统炎性脱髓鞘病变为主要特点的免疫介导性疾病，病变主要累及白质。本病须经相关专科医生明确诊断，有核磁共振检查（MRI）等影像学检查证实，且已经造成永久不可逆的神经系统功能损害。永久不可逆的神经系统功能损害指疾病确诊180天后，仍存在自主生活能力部分丧失，无法独立完成六项基本日常生活活动中的两项或两项以上，且未达到本主险合同所指重大疾病“严重多发性硬化”的给付标准。</w:t>
      </w:r>
    </w:p>
    <w:p w14:paraId="59658222" w14:textId="77777777" w:rsidR="008F265F" w:rsidRDefault="00A542E4">
      <w:pPr>
        <w:pStyle w:val="a"/>
        <w:tabs>
          <w:tab w:val="left" w:pos="851"/>
          <w:tab w:val="left" w:pos="1276"/>
        </w:tabs>
        <w:spacing w:before="312"/>
        <w:ind w:left="1276" w:hanging="1276"/>
      </w:pPr>
      <w:r>
        <w:rPr>
          <w:rFonts w:hint="eastAsia"/>
        </w:rPr>
        <w:t>重大疾病</w:t>
      </w:r>
      <w:r>
        <w:t>的定义</w:t>
      </w:r>
    </w:p>
    <w:p w14:paraId="263E2ED1" w14:textId="77777777" w:rsidR="008F265F" w:rsidRDefault="00A542E4">
      <w:pPr>
        <w:autoSpaceDE w:val="0"/>
        <w:autoSpaceDN w:val="0"/>
        <w:adjustRightInd w:val="0"/>
        <w:spacing w:beforeLines="50" w:before="156"/>
        <w:ind w:firstLine="419"/>
        <w:rPr>
          <w:rFonts w:ascii="宋体" w:hAnsi="宋体" w:cs="Arial"/>
          <w:snapToGrid w:val="0"/>
          <w:color w:val="000000"/>
        </w:rPr>
      </w:pPr>
      <w:r>
        <w:rPr>
          <w:rFonts w:ascii="宋体" w:hAnsi="宋体" w:hint="eastAsia"/>
        </w:rPr>
        <w:t>本条第一至二十八项重大疾病定义是中国保险行业协会制定的重大疾病保险的疾病定义；第二十九至一百三十七项为非中国保险行业协会制定的重大疾病定义。</w:t>
      </w:r>
    </w:p>
    <w:p w14:paraId="3A96C0F2"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恶性肿瘤——重度</w:t>
      </w:r>
    </w:p>
    <w:p w14:paraId="4474E685" w14:textId="77777777" w:rsidR="008F265F" w:rsidRDefault="00A542E4">
      <w:pPr>
        <w:autoSpaceDE w:val="0"/>
        <w:autoSpaceDN w:val="0"/>
        <w:adjustRightInd w:val="0"/>
        <w:spacing w:beforeLines="50" w:before="156"/>
        <w:ind w:firstLineChars="200" w:firstLine="420"/>
        <w:rPr>
          <w:rFonts w:ascii="宋体" w:hAnsi="宋体"/>
          <w:color w:val="000000"/>
          <w:szCs w:val="21"/>
        </w:rPr>
      </w:pPr>
      <w:r>
        <w:rPr>
          <w:rFonts w:ascii="宋体" w:hAnsi="宋体" w:hint="eastAsia"/>
          <w:color w:val="000000"/>
          <w:szCs w:val="21"/>
        </w:rPr>
        <w:t>指恶性细胞不受控制的进行性增长和扩散，浸润和破坏周围正常组织，可以经血管、淋巴管和体腔扩散转移到身体其他部位，病灶经组织病理学检查（涵盖骨髓病理学检查）结果明确诊断，临床诊断属于世界卫生组织（</w:t>
      </w:r>
      <w:r>
        <w:rPr>
          <w:rFonts w:ascii="宋体" w:hAnsi="宋体"/>
          <w:color w:val="000000"/>
          <w:szCs w:val="21"/>
        </w:rPr>
        <w:t>WHO</w:t>
      </w:r>
      <w:r>
        <w:rPr>
          <w:rFonts w:ascii="宋体" w:hAnsi="宋体" w:hint="eastAsia"/>
          <w:color w:val="000000"/>
          <w:szCs w:val="21"/>
        </w:rPr>
        <w:t>，</w:t>
      </w:r>
      <w:r>
        <w:rPr>
          <w:rFonts w:ascii="宋体" w:hAnsi="宋体"/>
          <w:color w:val="000000"/>
          <w:szCs w:val="21"/>
        </w:rPr>
        <w:t>World Health Organization</w:t>
      </w:r>
      <w:r>
        <w:rPr>
          <w:rFonts w:ascii="宋体" w:hAnsi="宋体" w:hint="eastAsia"/>
          <w:color w:val="000000"/>
          <w:szCs w:val="21"/>
        </w:rPr>
        <w:t>）《疾病和有关健康问题的国际统计分类》第十次修订版（</w:t>
      </w:r>
      <w:r>
        <w:rPr>
          <w:rFonts w:ascii="宋体" w:hAnsi="宋体"/>
          <w:color w:val="000000"/>
          <w:szCs w:val="21"/>
        </w:rPr>
        <w:t>ICD-10</w:t>
      </w:r>
      <w:r>
        <w:rPr>
          <w:rFonts w:ascii="宋体" w:hAnsi="宋体" w:hint="eastAsia"/>
          <w:color w:val="000000"/>
          <w:szCs w:val="21"/>
        </w:rPr>
        <w:t>）的恶性肿瘤类别及《国际疾病分类肿瘤学专辑》第三版（</w:t>
      </w:r>
      <w:r>
        <w:rPr>
          <w:rFonts w:ascii="宋体" w:hAnsi="宋体"/>
          <w:color w:val="000000"/>
          <w:szCs w:val="21"/>
        </w:rPr>
        <w:t>ICD-O-3</w:t>
      </w:r>
      <w:r>
        <w:rPr>
          <w:rFonts w:ascii="宋体" w:hAnsi="宋体" w:hint="eastAsia"/>
          <w:color w:val="000000"/>
          <w:szCs w:val="21"/>
        </w:rPr>
        <w:t>）的肿瘤形态学编码属于</w:t>
      </w:r>
      <w:r>
        <w:rPr>
          <w:rFonts w:ascii="宋体" w:hAnsi="宋体"/>
          <w:color w:val="000000"/>
          <w:szCs w:val="21"/>
        </w:rPr>
        <w:t>3</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（恶性肿瘤）范畴的疾病。</w:t>
      </w:r>
    </w:p>
    <w:p w14:paraId="53BC57A7" w14:textId="77777777" w:rsidR="008F265F" w:rsidRPr="00FD5F2C" w:rsidRDefault="00A542E4">
      <w:pPr>
        <w:autoSpaceDE w:val="0"/>
        <w:autoSpaceDN w:val="0"/>
        <w:adjustRightInd w:val="0"/>
        <w:spacing w:beforeLines="50" w:before="156"/>
        <w:ind w:firstLineChars="200" w:firstLine="420"/>
        <w:rPr>
          <w:rFonts w:ascii="宋体" w:hAnsi="宋体"/>
          <w:color w:val="000000"/>
          <w:szCs w:val="21"/>
          <w:shd w:val="pct15" w:color="auto" w:fill="FFFFFF"/>
        </w:rPr>
      </w:pPr>
      <w:r w:rsidRPr="00FD5F2C">
        <w:rPr>
          <w:rFonts w:ascii="宋体" w:hAnsi="宋体" w:hint="eastAsia"/>
          <w:color w:val="000000"/>
          <w:szCs w:val="21"/>
          <w:shd w:val="pct15" w:color="auto" w:fill="FFFFFF"/>
        </w:rPr>
        <w:t>下列疾病不属于“恶性肿瘤——重度”，不在保障范围内：</w:t>
      </w:r>
    </w:p>
    <w:p w14:paraId="7B7B8B9D" w14:textId="77777777" w:rsidR="008F265F" w:rsidRPr="00FD5F2C" w:rsidRDefault="00A542E4">
      <w:pPr>
        <w:autoSpaceDE w:val="0"/>
        <w:autoSpaceDN w:val="0"/>
        <w:adjustRightInd w:val="0"/>
        <w:ind w:firstLineChars="200" w:firstLine="420"/>
        <w:rPr>
          <w:rFonts w:ascii="宋体" w:hAnsi="宋体"/>
          <w:color w:val="000000"/>
          <w:szCs w:val="21"/>
          <w:shd w:val="pct15" w:color="auto" w:fill="FFFFFF"/>
        </w:rPr>
      </w:pPr>
      <w:r w:rsidRPr="00FD5F2C">
        <w:rPr>
          <w:rFonts w:ascii="宋体" w:hAnsi="宋体"/>
          <w:color w:val="000000"/>
          <w:szCs w:val="21"/>
          <w:shd w:val="pct15" w:color="auto" w:fill="FFFFFF"/>
        </w:rPr>
        <w:lastRenderedPageBreak/>
        <w:t>1</w:t>
      </w:r>
      <w:r w:rsidRPr="00FD5F2C">
        <w:rPr>
          <w:rFonts w:ascii="宋体" w:hAnsi="宋体" w:hint="eastAsia"/>
          <w:color w:val="000000"/>
          <w:szCs w:val="21"/>
          <w:shd w:val="pct15" w:color="auto" w:fill="FFFFFF"/>
        </w:rPr>
        <w:t>．</w:t>
      </w:r>
      <w:r w:rsidRPr="00FD5F2C">
        <w:rPr>
          <w:rFonts w:ascii="宋体" w:hAnsi="宋体"/>
          <w:color w:val="000000"/>
          <w:szCs w:val="21"/>
          <w:shd w:val="pct15" w:color="auto" w:fill="FFFFFF"/>
        </w:rPr>
        <w:t>ICD-O-3</w:t>
      </w:r>
      <w:r w:rsidRPr="00FD5F2C">
        <w:rPr>
          <w:rFonts w:ascii="宋体" w:hAnsi="宋体" w:hint="eastAsia"/>
          <w:color w:val="000000"/>
          <w:szCs w:val="21"/>
          <w:shd w:val="pct15" w:color="auto" w:fill="FFFFFF"/>
        </w:rPr>
        <w:t>肿瘤形态学编码属于</w:t>
      </w:r>
      <w:r w:rsidRPr="00FD5F2C">
        <w:rPr>
          <w:rFonts w:ascii="宋体" w:hAnsi="宋体"/>
          <w:color w:val="000000"/>
          <w:szCs w:val="21"/>
          <w:shd w:val="pct15" w:color="auto" w:fill="FFFFFF"/>
        </w:rPr>
        <w:t>0</w:t>
      </w:r>
      <w:r w:rsidRPr="00FD5F2C">
        <w:rPr>
          <w:rFonts w:ascii="宋体" w:hAnsi="宋体" w:hint="eastAsia"/>
          <w:color w:val="000000"/>
          <w:szCs w:val="21"/>
          <w:shd w:val="pct15" w:color="auto" w:fill="FFFFFF"/>
        </w:rPr>
        <w:t>（良性肿瘤）、</w:t>
      </w:r>
      <w:r w:rsidRPr="00FD5F2C">
        <w:rPr>
          <w:rFonts w:ascii="宋体" w:hAnsi="宋体"/>
          <w:color w:val="000000"/>
          <w:szCs w:val="21"/>
          <w:shd w:val="pct15" w:color="auto" w:fill="FFFFFF"/>
        </w:rPr>
        <w:t>1</w:t>
      </w:r>
      <w:r w:rsidRPr="00FD5F2C">
        <w:rPr>
          <w:rFonts w:ascii="宋体" w:hAnsi="宋体" w:hint="eastAsia"/>
          <w:color w:val="000000"/>
          <w:szCs w:val="21"/>
          <w:shd w:val="pct15" w:color="auto" w:fill="FFFFFF"/>
        </w:rPr>
        <w:t>（动态未定性肿瘤）、</w:t>
      </w:r>
      <w:r w:rsidRPr="00FD5F2C">
        <w:rPr>
          <w:rFonts w:ascii="宋体" w:hAnsi="宋体"/>
          <w:color w:val="000000"/>
          <w:szCs w:val="21"/>
          <w:shd w:val="pct15" w:color="auto" w:fill="FFFFFF"/>
        </w:rPr>
        <w:t>2</w:t>
      </w:r>
      <w:r w:rsidRPr="00FD5F2C">
        <w:rPr>
          <w:rFonts w:ascii="宋体" w:hAnsi="宋体" w:hint="eastAsia"/>
          <w:color w:val="000000"/>
          <w:szCs w:val="21"/>
          <w:shd w:val="pct15" w:color="auto" w:fill="FFFFFF"/>
        </w:rPr>
        <w:t>（原位癌和非侵袭性癌）范畴的疾病，如：</w:t>
      </w:r>
    </w:p>
    <w:p w14:paraId="4DA80018" w14:textId="77777777" w:rsidR="008F265F" w:rsidRPr="00FD5F2C" w:rsidRDefault="00A542E4">
      <w:pPr>
        <w:autoSpaceDE w:val="0"/>
        <w:autoSpaceDN w:val="0"/>
        <w:adjustRightInd w:val="0"/>
        <w:ind w:firstLineChars="200" w:firstLine="420"/>
        <w:rPr>
          <w:rFonts w:ascii="宋体" w:hAnsi="宋体"/>
          <w:color w:val="000000"/>
          <w:szCs w:val="21"/>
          <w:shd w:val="pct15" w:color="auto" w:fill="FFFFFF"/>
        </w:rPr>
      </w:pPr>
      <w:r w:rsidRPr="00FD5F2C">
        <w:rPr>
          <w:rFonts w:ascii="宋体" w:hAnsi="宋体" w:hint="eastAsia"/>
          <w:color w:val="000000"/>
          <w:szCs w:val="21"/>
          <w:shd w:val="pct15" w:color="auto" w:fill="FFFFFF"/>
        </w:rPr>
        <w:t>（1）原位癌，癌前病变，非浸润性癌，非侵袭性癌，肿瘤细胞未侵犯基底层，上皮内瘤变，细胞不典型性增生等；</w:t>
      </w:r>
    </w:p>
    <w:p w14:paraId="41186E83" w14:textId="77777777" w:rsidR="008F265F" w:rsidRPr="00FD5F2C" w:rsidRDefault="00A542E4">
      <w:pPr>
        <w:autoSpaceDE w:val="0"/>
        <w:autoSpaceDN w:val="0"/>
        <w:adjustRightInd w:val="0"/>
        <w:ind w:firstLineChars="200" w:firstLine="420"/>
        <w:rPr>
          <w:rFonts w:ascii="宋体" w:hAnsi="宋体"/>
          <w:color w:val="000000"/>
          <w:szCs w:val="21"/>
          <w:shd w:val="pct15" w:color="auto" w:fill="FFFFFF"/>
        </w:rPr>
      </w:pPr>
      <w:r w:rsidRPr="00FD5F2C">
        <w:rPr>
          <w:rFonts w:ascii="宋体" w:hAnsi="宋体" w:hint="eastAsia"/>
          <w:color w:val="000000"/>
          <w:szCs w:val="21"/>
          <w:shd w:val="pct15" w:color="auto" w:fill="FFFFFF"/>
        </w:rPr>
        <w:t>（2）交界性肿瘤，交界恶性肿瘤，肿瘤低度恶性潜能，潜在低度恶性肿瘤等；</w:t>
      </w:r>
    </w:p>
    <w:p w14:paraId="6154709A" w14:textId="77777777" w:rsidR="008F265F" w:rsidRPr="00FD5F2C" w:rsidRDefault="00A542E4">
      <w:pPr>
        <w:autoSpaceDE w:val="0"/>
        <w:autoSpaceDN w:val="0"/>
        <w:adjustRightInd w:val="0"/>
        <w:ind w:firstLineChars="200" w:firstLine="420"/>
        <w:rPr>
          <w:rFonts w:ascii="宋体" w:hAnsi="宋体"/>
          <w:color w:val="000000"/>
          <w:szCs w:val="21"/>
          <w:shd w:val="pct15" w:color="auto" w:fill="FFFFFF"/>
        </w:rPr>
      </w:pPr>
      <w:r w:rsidRPr="00FD5F2C">
        <w:rPr>
          <w:rFonts w:ascii="宋体" w:hAnsi="宋体"/>
          <w:color w:val="000000"/>
          <w:szCs w:val="21"/>
          <w:shd w:val="pct15" w:color="auto" w:fill="FFFFFF"/>
        </w:rPr>
        <w:t>2</w:t>
      </w:r>
      <w:r w:rsidRPr="00FD5F2C">
        <w:rPr>
          <w:rFonts w:ascii="宋体" w:hAnsi="宋体" w:hint="eastAsia"/>
          <w:color w:val="000000"/>
          <w:szCs w:val="21"/>
          <w:shd w:val="pct15" w:color="auto" w:fill="FFFFFF"/>
        </w:rPr>
        <w:t>．</w:t>
      </w:r>
      <w:r w:rsidRPr="00FD5F2C">
        <w:rPr>
          <w:rFonts w:ascii="宋体" w:hAnsi="宋体"/>
          <w:color w:val="000000"/>
          <w:szCs w:val="21"/>
          <w:shd w:val="pct15" w:color="auto" w:fill="FFFFFF"/>
        </w:rPr>
        <w:t>TNM</w:t>
      </w:r>
      <w:r w:rsidRPr="00FD5F2C">
        <w:rPr>
          <w:rFonts w:ascii="宋体" w:hAnsi="宋体" w:hint="eastAsia"/>
          <w:color w:val="000000"/>
          <w:szCs w:val="21"/>
          <w:shd w:val="pct15" w:color="auto" w:fill="FFFFFF"/>
        </w:rPr>
        <w:t>分期为Ⅰ期或更轻分期的甲状腺癌；</w:t>
      </w:r>
    </w:p>
    <w:p w14:paraId="7F70BC0D" w14:textId="77777777" w:rsidR="008F265F" w:rsidRPr="00FD5F2C" w:rsidRDefault="00A542E4">
      <w:pPr>
        <w:autoSpaceDE w:val="0"/>
        <w:autoSpaceDN w:val="0"/>
        <w:adjustRightInd w:val="0"/>
        <w:ind w:firstLineChars="200" w:firstLine="420"/>
        <w:rPr>
          <w:rFonts w:ascii="宋体" w:hAnsi="宋体"/>
          <w:color w:val="000000"/>
          <w:szCs w:val="21"/>
          <w:shd w:val="pct15" w:color="auto" w:fill="FFFFFF"/>
        </w:rPr>
      </w:pPr>
      <w:r w:rsidRPr="00FD5F2C">
        <w:rPr>
          <w:rFonts w:ascii="宋体" w:hAnsi="宋体"/>
          <w:color w:val="000000"/>
          <w:szCs w:val="21"/>
          <w:shd w:val="pct15" w:color="auto" w:fill="FFFFFF"/>
        </w:rPr>
        <w:t>3</w:t>
      </w:r>
      <w:r w:rsidRPr="00FD5F2C">
        <w:rPr>
          <w:rFonts w:ascii="宋体" w:hAnsi="宋体" w:hint="eastAsia"/>
          <w:color w:val="000000"/>
          <w:szCs w:val="21"/>
          <w:shd w:val="pct15" w:color="auto" w:fill="FFFFFF"/>
        </w:rPr>
        <w:t>．</w:t>
      </w:r>
      <w:r w:rsidRPr="00FD5F2C">
        <w:rPr>
          <w:rFonts w:ascii="宋体" w:hAnsi="宋体"/>
          <w:color w:val="000000"/>
          <w:szCs w:val="21"/>
          <w:shd w:val="pct15" w:color="auto" w:fill="FFFFFF"/>
        </w:rPr>
        <w:t>TNM</w:t>
      </w:r>
      <w:r w:rsidRPr="00FD5F2C">
        <w:rPr>
          <w:rFonts w:ascii="宋体" w:hAnsi="宋体" w:hint="eastAsia"/>
          <w:color w:val="000000"/>
          <w:szCs w:val="21"/>
          <w:shd w:val="pct15" w:color="auto" w:fill="FFFFFF"/>
        </w:rPr>
        <w:t>分期为</w:t>
      </w:r>
      <w:r w:rsidRPr="00FD5F2C">
        <w:rPr>
          <w:rFonts w:ascii="宋体" w:hAnsi="宋体"/>
          <w:shd w:val="pct15" w:color="auto" w:fill="FFFFFF"/>
        </w:rPr>
        <w:t>T</w:t>
      </w:r>
      <w:r w:rsidRPr="00FD5F2C">
        <w:rPr>
          <w:rFonts w:ascii="宋体" w:hAnsi="宋体"/>
          <w:shd w:val="pct15" w:color="auto" w:fill="FFFFFF"/>
          <w:vertAlign w:val="subscript"/>
        </w:rPr>
        <w:t>1</w:t>
      </w:r>
      <w:r w:rsidRPr="00FD5F2C">
        <w:rPr>
          <w:rFonts w:ascii="宋体" w:hAnsi="宋体"/>
          <w:shd w:val="pct15" w:color="auto" w:fill="FFFFFF"/>
        </w:rPr>
        <w:t>N</w:t>
      </w:r>
      <w:r w:rsidRPr="00FD5F2C">
        <w:rPr>
          <w:rFonts w:ascii="宋体" w:hAnsi="宋体"/>
          <w:shd w:val="pct15" w:color="auto" w:fill="FFFFFF"/>
          <w:vertAlign w:val="subscript"/>
        </w:rPr>
        <w:t>0</w:t>
      </w:r>
      <w:r w:rsidRPr="00FD5F2C">
        <w:rPr>
          <w:rFonts w:ascii="宋体" w:hAnsi="宋体"/>
          <w:shd w:val="pct15" w:color="auto" w:fill="FFFFFF"/>
        </w:rPr>
        <w:t>M</w:t>
      </w:r>
      <w:r w:rsidRPr="00FD5F2C">
        <w:rPr>
          <w:rFonts w:ascii="宋体" w:hAnsi="宋体"/>
          <w:shd w:val="pct15" w:color="auto" w:fill="FFFFFF"/>
          <w:vertAlign w:val="subscript"/>
        </w:rPr>
        <w:t>0</w:t>
      </w:r>
      <w:r w:rsidRPr="00FD5F2C">
        <w:rPr>
          <w:rFonts w:ascii="宋体" w:hAnsi="宋体" w:hint="eastAsia"/>
          <w:color w:val="000000"/>
          <w:szCs w:val="21"/>
          <w:shd w:val="pct15" w:color="auto" w:fill="FFFFFF"/>
        </w:rPr>
        <w:t>期或更轻分期的前列腺癌；</w:t>
      </w:r>
    </w:p>
    <w:p w14:paraId="22EB4572" w14:textId="77777777" w:rsidR="008F265F" w:rsidRPr="00FD5F2C" w:rsidRDefault="00A542E4">
      <w:pPr>
        <w:autoSpaceDE w:val="0"/>
        <w:autoSpaceDN w:val="0"/>
        <w:adjustRightInd w:val="0"/>
        <w:ind w:firstLineChars="200" w:firstLine="420"/>
        <w:rPr>
          <w:rFonts w:ascii="宋体" w:hAnsi="宋体"/>
          <w:color w:val="000000"/>
          <w:szCs w:val="21"/>
          <w:shd w:val="pct15" w:color="auto" w:fill="FFFFFF"/>
        </w:rPr>
      </w:pPr>
      <w:r w:rsidRPr="00FD5F2C">
        <w:rPr>
          <w:rFonts w:ascii="宋体" w:hAnsi="宋体"/>
          <w:color w:val="000000"/>
          <w:szCs w:val="21"/>
          <w:shd w:val="pct15" w:color="auto" w:fill="FFFFFF"/>
        </w:rPr>
        <w:t>4</w:t>
      </w:r>
      <w:r w:rsidRPr="00FD5F2C">
        <w:rPr>
          <w:rFonts w:ascii="宋体" w:hAnsi="宋体" w:hint="eastAsia"/>
          <w:color w:val="000000"/>
          <w:szCs w:val="21"/>
          <w:shd w:val="pct15" w:color="auto" w:fill="FFFFFF"/>
        </w:rPr>
        <w:t>．黑色素瘤以外的未发生淋巴结和远处转移的皮肤恶性肿瘤；</w:t>
      </w:r>
    </w:p>
    <w:p w14:paraId="36D3F0AB" w14:textId="77777777" w:rsidR="008F265F" w:rsidRPr="00FD5F2C" w:rsidRDefault="00A542E4">
      <w:pPr>
        <w:autoSpaceDE w:val="0"/>
        <w:autoSpaceDN w:val="0"/>
        <w:adjustRightInd w:val="0"/>
        <w:ind w:firstLineChars="200" w:firstLine="420"/>
        <w:rPr>
          <w:rFonts w:ascii="宋体" w:hAnsi="宋体"/>
          <w:color w:val="000000"/>
          <w:szCs w:val="21"/>
          <w:shd w:val="pct15" w:color="auto" w:fill="FFFFFF"/>
        </w:rPr>
      </w:pPr>
      <w:r w:rsidRPr="00FD5F2C">
        <w:rPr>
          <w:rFonts w:ascii="宋体" w:hAnsi="宋体"/>
          <w:color w:val="000000"/>
          <w:szCs w:val="21"/>
          <w:shd w:val="pct15" w:color="auto" w:fill="FFFFFF"/>
        </w:rPr>
        <w:t>5</w:t>
      </w:r>
      <w:r w:rsidRPr="00FD5F2C">
        <w:rPr>
          <w:rFonts w:ascii="宋体" w:hAnsi="宋体" w:hint="eastAsia"/>
          <w:color w:val="000000"/>
          <w:szCs w:val="21"/>
          <w:shd w:val="pct15" w:color="auto" w:fill="FFFFFF"/>
        </w:rPr>
        <w:t>．相当于</w:t>
      </w:r>
      <w:r w:rsidRPr="00FD5F2C">
        <w:rPr>
          <w:rFonts w:ascii="宋体" w:hAnsi="宋体"/>
          <w:color w:val="000000"/>
          <w:szCs w:val="21"/>
          <w:shd w:val="pct15" w:color="auto" w:fill="FFFFFF"/>
        </w:rPr>
        <w:t>Binet</w:t>
      </w:r>
      <w:r w:rsidRPr="00FD5F2C">
        <w:rPr>
          <w:rFonts w:ascii="宋体" w:hAnsi="宋体" w:hint="eastAsia"/>
          <w:color w:val="000000"/>
          <w:szCs w:val="21"/>
          <w:shd w:val="pct15" w:color="auto" w:fill="FFFFFF"/>
        </w:rPr>
        <w:t>分期方案</w:t>
      </w:r>
      <w:r w:rsidRPr="00FD5F2C">
        <w:rPr>
          <w:rFonts w:ascii="宋体" w:hAnsi="宋体"/>
          <w:color w:val="000000"/>
          <w:szCs w:val="21"/>
          <w:shd w:val="pct15" w:color="auto" w:fill="FFFFFF"/>
        </w:rPr>
        <w:t>A</w:t>
      </w:r>
      <w:r w:rsidRPr="00FD5F2C">
        <w:rPr>
          <w:rFonts w:ascii="宋体" w:hAnsi="宋体" w:hint="eastAsia"/>
          <w:color w:val="000000"/>
          <w:szCs w:val="21"/>
          <w:shd w:val="pct15" w:color="auto" w:fill="FFFFFF"/>
        </w:rPr>
        <w:t>期程度的慢性淋巴细胞白血病；</w:t>
      </w:r>
    </w:p>
    <w:p w14:paraId="7BC4AA2E" w14:textId="77777777" w:rsidR="008F265F" w:rsidRPr="00FD5F2C" w:rsidRDefault="00A542E4">
      <w:pPr>
        <w:autoSpaceDE w:val="0"/>
        <w:autoSpaceDN w:val="0"/>
        <w:adjustRightInd w:val="0"/>
        <w:ind w:firstLineChars="200" w:firstLine="420"/>
        <w:rPr>
          <w:rFonts w:ascii="宋体" w:hAnsi="宋体"/>
          <w:color w:val="000000"/>
          <w:szCs w:val="21"/>
          <w:shd w:val="pct15" w:color="auto" w:fill="FFFFFF"/>
        </w:rPr>
      </w:pPr>
      <w:r w:rsidRPr="00FD5F2C">
        <w:rPr>
          <w:rFonts w:ascii="宋体" w:hAnsi="宋体"/>
          <w:color w:val="000000"/>
          <w:szCs w:val="21"/>
          <w:shd w:val="pct15" w:color="auto" w:fill="FFFFFF"/>
        </w:rPr>
        <w:t>6</w:t>
      </w:r>
      <w:r w:rsidRPr="00FD5F2C">
        <w:rPr>
          <w:rFonts w:ascii="宋体" w:hAnsi="宋体" w:hint="eastAsia"/>
          <w:color w:val="000000"/>
          <w:szCs w:val="21"/>
          <w:shd w:val="pct15" w:color="auto" w:fill="FFFFFF"/>
        </w:rPr>
        <w:t>．相当于</w:t>
      </w:r>
      <w:r w:rsidRPr="00FD5F2C">
        <w:rPr>
          <w:rFonts w:ascii="宋体" w:hAnsi="宋体"/>
          <w:color w:val="000000"/>
          <w:szCs w:val="21"/>
          <w:shd w:val="pct15" w:color="auto" w:fill="FFFFFF"/>
        </w:rPr>
        <w:t>Ann Arbor</w:t>
      </w:r>
      <w:r w:rsidRPr="00FD5F2C">
        <w:rPr>
          <w:rFonts w:ascii="宋体" w:hAnsi="宋体" w:hint="eastAsia"/>
          <w:color w:val="000000"/>
          <w:szCs w:val="21"/>
          <w:shd w:val="pct15" w:color="auto" w:fill="FFFFFF"/>
        </w:rPr>
        <w:t>分期方案Ⅰ期程度的何杰金氏病；</w:t>
      </w:r>
    </w:p>
    <w:p w14:paraId="42C1B3A7" w14:textId="77777777" w:rsidR="008F265F" w:rsidRPr="00FD5F2C" w:rsidRDefault="00A542E4">
      <w:pPr>
        <w:autoSpaceDE w:val="0"/>
        <w:autoSpaceDN w:val="0"/>
        <w:adjustRightInd w:val="0"/>
        <w:ind w:firstLineChars="200" w:firstLine="420"/>
        <w:rPr>
          <w:rFonts w:ascii="宋体" w:hAnsi="宋体"/>
          <w:color w:val="000000"/>
          <w:szCs w:val="21"/>
          <w:shd w:val="pct15" w:color="auto" w:fill="FFFFFF"/>
        </w:rPr>
      </w:pPr>
      <w:r w:rsidRPr="00FD5F2C">
        <w:rPr>
          <w:rFonts w:ascii="宋体" w:hAnsi="宋体"/>
          <w:color w:val="000000"/>
          <w:szCs w:val="21"/>
          <w:shd w:val="pct15" w:color="auto" w:fill="FFFFFF"/>
        </w:rPr>
        <w:t>7</w:t>
      </w:r>
      <w:r w:rsidRPr="00FD5F2C">
        <w:rPr>
          <w:rFonts w:ascii="宋体" w:hAnsi="宋体" w:hint="eastAsia"/>
          <w:color w:val="000000"/>
          <w:szCs w:val="21"/>
          <w:shd w:val="pct15" w:color="auto" w:fill="FFFFFF"/>
        </w:rPr>
        <w:t>．未发生淋巴结和远处转移且</w:t>
      </w:r>
      <w:r w:rsidRPr="00FD5F2C">
        <w:rPr>
          <w:rFonts w:ascii="宋体" w:hAnsi="宋体"/>
          <w:color w:val="000000"/>
          <w:szCs w:val="21"/>
          <w:shd w:val="pct15" w:color="auto" w:fill="FFFFFF"/>
        </w:rPr>
        <w:t>WHO</w:t>
      </w:r>
      <w:r w:rsidRPr="00FD5F2C">
        <w:rPr>
          <w:rFonts w:ascii="宋体" w:hAnsi="宋体" w:hint="eastAsia"/>
          <w:color w:val="000000"/>
          <w:szCs w:val="21"/>
          <w:shd w:val="pct15" w:color="auto" w:fill="FFFFFF"/>
        </w:rPr>
        <w:t>分级为</w:t>
      </w:r>
      <w:r w:rsidRPr="00FD5F2C">
        <w:rPr>
          <w:rFonts w:ascii="宋体" w:hAnsi="宋体"/>
          <w:color w:val="000000"/>
          <w:szCs w:val="21"/>
          <w:shd w:val="pct15" w:color="auto" w:fill="FFFFFF"/>
        </w:rPr>
        <w:t>G1</w:t>
      </w:r>
      <w:r w:rsidRPr="00FD5F2C">
        <w:rPr>
          <w:rFonts w:ascii="宋体" w:hAnsi="宋体" w:hint="eastAsia"/>
          <w:color w:val="000000"/>
          <w:szCs w:val="21"/>
          <w:shd w:val="pct15" w:color="auto" w:fill="FFFFFF"/>
        </w:rPr>
        <w:t>级别（核分裂像</w:t>
      </w:r>
      <w:r w:rsidRPr="00FD5F2C">
        <w:rPr>
          <w:rFonts w:ascii="宋体" w:hAnsi="宋体"/>
          <w:color w:val="000000"/>
          <w:szCs w:val="21"/>
          <w:shd w:val="pct15" w:color="auto" w:fill="FFFFFF"/>
        </w:rPr>
        <w:t>＜10/50HPF</w:t>
      </w:r>
      <w:r w:rsidRPr="00FD5F2C">
        <w:rPr>
          <w:rFonts w:ascii="宋体" w:hAnsi="宋体" w:hint="eastAsia"/>
          <w:color w:val="000000"/>
          <w:szCs w:val="21"/>
          <w:shd w:val="pct15" w:color="auto" w:fill="FFFFFF"/>
        </w:rPr>
        <w:t>和</w:t>
      </w:r>
      <w:r w:rsidRPr="00FD5F2C">
        <w:rPr>
          <w:rFonts w:ascii="宋体" w:hAnsi="宋体"/>
          <w:color w:val="000000"/>
          <w:szCs w:val="21"/>
          <w:shd w:val="pct15" w:color="auto" w:fill="FFFFFF"/>
        </w:rPr>
        <w:t>ki-67</w:t>
      </w:r>
      <w:r w:rsidRPr="00FD5F2C">
        <w:rPr>
          <w:rFonts w:ascii="宋体" w:hAnsi="宋体" w:hint="eastAsia"/>
          <w:color w:val="000000"/>
          <w:szCs w:val="21"/>
          <w:shd w:val="pct15" w:color="auto" w:fill="FFFFFF"/>
        </w:rPr>
        <w:t>≤</w:t>
      </w:r>
      <w:r w:rsidRPr="00FD5F2C">
        <w:rPr>
          <w:rFonts w:ascii="宋体" w:hAnsi="宋体"/>
          <w:color w:val="000000"/>
          <w:szCs w:val="21"/>
          <w:shd w:val="pct15" w:color="auto" w:fill="FFFFFF"/>
        </w:rPr>
        <w:t>2%</w:t>
      </w:r>
      <w:r w:rsidRPr="00FD5F2C">
        <w:rPr>
          <w:rFonts w:ascii="宋体" w:hAnsi="宋体" w:hint="eastAsia"/>
          <w:color w:val="000000"/>
          <w:szCs w:val="21"/>
          <w:shd w:val="pct15" w:color="auto" w:fill="FFFFFF"/>
        </w:rPr>
        <w:t>）或更轻分级的神经内分泌肿瘤。</w:t>
      </w:r>
    </w:p>
    <w:p w14:paraId="1C15DAC6"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snapToGrid w:val="0"/>
          <w:color w:val="000000"/>
        </w:rPr>
        <w:t>较重急性心肌梗死</w:t>
      </w:r>
    </w:p>
    <w:p w14:paraId="0D768DE3" w14:textId="77777777" w:rsidR="008F265F" w:rsidRDefault="00A542E4">
      <w:pPr>
        <w:autoSpaceDE w:val="0"/>
        <w:autoSpaceDN w:val="0"/>
        <w:adjustRightInd w:val="0"/>
        <w:spacing w:beforeLines="50" w:before="156"/>
        <w:ind w:firstLine="480"/>
        <w:rPr>
          <w:rFonts w:ascii="宋体" w:hAnsi="宋体"/>
          <w:color w:val="000000"/>
        </w:rPr>
      </w:pPr>
      <w:r>
        <w:rPr>
          <w:rFonts w:ascii="宋体" w:hAnsi="宋体" w:hint="eastAsia"/>
          <w:color w:val="000000"/>
        </w:rPr>
        <w:t>急性心肌梗死指由于冠状动脉闭塞或梗阻引起部分心肌严重的持久性缺血造成急性心肌坏死。急性心肌梗死的诊断必须依据国际国内诊断标准，符合：</w:t>
      </w:r>
    </w:p>
    <w:p w14:paraId="182DFA89" w14:textId="77777777" w:rsidR="008F265F" w:rsidRDefault="00A542E4">
      <w:pPr>
        <w:autoSpaceDE w:val="0"/>
        <w:autoSpaceDN w:val="0"/>
        <w:adjustRightInd w:val="0"/>
        <w:ind w:firstLine="482"/>
        <w:rPr>
          <w:rFonts w:ascii="宋体" w:hAnsi="宋体"/>
          <w:color w:val="000000"/>
        </w:rPr>
      </w:pPr>
      <w:r>
        <w:rPr>
          <w:rFonts w:ascii="宋体" w:hAnsi="宋体" w:hint="eastAsia"/>
          <w:color w:val="000000"/>
        </w:rPr>
        <w:t>1．检测到肌酸激酶同工酶（</w:t>
      </w:r>
      <w:r>
        <w:rPr>
          <w:rFonts w:ascii="宋体" w:hAnsi="宋体"/>
          <w:color w:val="000000"/>
        </w:rPr>
        <w:t>CK-MB</w:t>
      </w:r>
      <w:r>
        <w:rPr>
          <w:rFonts w:ascii="宋体" w:hAnsi="宋体" w:hint="eastAsia"/>
          <w:color w:val="000000"/>
        </w:rPr>
        <w:t>）或肌钙蛋白（</w:t>
      </w:r>
      <w:r>
        <w:rPr>
          <w:rFonts w:ascii="宋体" w:hAnsi="宋体"/>
          <w:color w:val="000000"/>
        </w:rPr>
        <w:t>cTn</w:t>
      </w:r>
      <w:r>
        <w:rPr>
          <w:rFonts w:ascii="宋体" w:hAnsi="宋体" w:hint="eastAsia"/>
          <w:color w:val="000000"/>
        </w:rPr>
        <w:t>）升高和</w:t>
      </w:r>
      <w:r>
        <w:rPr>
          <w:rFonts w:ascii="宋体" w:hAnsi="宋体"/>
          <w:color w:val="000000"/>
        </w:rPr>
        <w:t>/</w:t>
      </w:r>
      <w:r>
        <w:rPr>
          <w:rFonts w:ascii="宋体" w:hAnsi="宋体" w:hint="eastAsia"/>
          <w:color w:val="000000"/>
        </w:rPr>
        <w:t>或降低的动态变化，至少一次达到或超过心肌梗死的临床诊断标准；</w:t>
      </w:r>
    </w:p>
    <w:p w14:paraId="36F10EAB" w14:textId="77777777" w:rsidR="008F265F" w:rsidRDefault="00A542E4">
      <w:pPr>
        <w:autoSpaceDE w:val="0"/>
        <w:autoSpaceDN w:val="0"/>
        <w:adjustRightInd w:val="0"/>
        <w:ind w:firstLine="482"/>
        <w:rPr>
          <w:rFonts w:ascii="宋体" w:hAnsi="宋体"/>
          <w:color w:val="000000"/>
        </w:rPr>
      </w:pPr>
      <w:r>
        <w:rPr>
          <w:rFonts w:ascii="宋体" w:hAnsi="宋体"/>
          <w:color w:val="000000"/>
        </w:rPr>
        <w:t>2</w:t>
      </w:r>
      <w:r>
        <w:rPr>
          <w:rFonts w:ascii="宋体" w:hAnsi="宋体" w:hint="eastAsia"/>
          <w:color w:val="000000"/>
        </w:rPr>
        <w:t>．同时存在下列之一的证据，包括：缺血性胸痛症状、新发生的缺血性心电图改变、新生成的病理性</w:t>
      </w:r>
      <w:r>
        <w:rPr>
          <w:rFonts w:ascii="宋体" w:hAnsi="宋体"/>
          <w:color w:val="000000"/>
        </w:rPr>
        <w:t>Q</w:t>
      </w:r>
      <w:r>
        <w:rPr>
          <w:rFonts w:ascii="宋体" w:hAnsi="宋体" w:hint="eastAsia"/>
          <w:color w:val="000000"/>
        </w:rPr>
        <w:t>波、影像学证据显示有新出现的心肌活性丧失或新出现局部室壁运动异常、冠脉造影证实存在冠状动脉血栓。</w:t>
      </w:r>
    </w:p>
    <w:p w14:paraId="58CC991A" w14:textId="77777777" w:rsidR="008F265F" w:rsidRDefault="00A542E4">
      <w:pPr>
        <w:autoSpaceDE w:val="0"/>
        <w:autoSpaceDN w:val="0"/>
        <w:adjustRightInd w:val="0"/>
        <w:spacing w:beforeLines="50" w:before="156"/>
        <w:ind w:firstLine="420"/>
        <w:rPr>
          <w:rFonts w:ascii="宋体" w:hAnsi="宋体"/>
          <w:color w:val="000000"/>
        </w:rPr>
      </w:pPr>
      <w:r>
        <w:rPr>
          <w:rFonts w:ascii="宋体" w:hAnsi="宋体" w:hint="eastAsia"/>
          <w:color w:val="000000"/>
        </w:rPr>
        <w:lastRenderedPageBreak/>
        <w:t>较重急性心肌梗死指依照上述标准被明确诊断为急性心肌梗死，并且必须同时满足下列至少一项条件：</w:t>
      </w:r>
    </w:p>
    <w:p w14:paraId="3C1A5243" w14:textId="77777777" w:rsidR="008F265F" w:rsidRDefault="00A542E4">
      <w:pPr>
        <w:autoSpaceDE w:val="0"/>
        <w:autoSpaceDN w:val="0"/>
        <w:adjustRightInd w:val="0"/>
        <w:ind w:firstLine="420"/>
        <w:rPr>
          <w:rFonts w:ascii="宋体" w:hAnsi="宋体"/>
          <w:color w:val="000000"/>
        </w:rPr>
      </w:pPr>
      <w:r>
        <w:rPr>
          <w:rFonts w:ascii="宋体" w:hAnsi="宋体"/>
          <w:color w:val="000000"/>
        </w:rPr>
        <w:t>1</w:t>
      </w:r>
      <w:r>
        <w:rPr>
          <w:rFonts w:ascii="宋体" w:hAnsi="宋体" w:hint="eastAsia"/>
          <w:color w:val="000000"/>
        </w:rPr>
        <w:t>．心肌损伤标志物肌钙蛋白（</w:t>
      </w:r>
      <w:r>
        <w:rPr>
          <w:rFonts w:ascii="宋体" w:hAnsi="宋体"/>
          <w:color w:val="000000"/>
        </w:rPr>
        <w:t>cTn</w:t>
      </w:r>
      <w:r>
        <w:rPr>
          <w:rFonts w:ascii="宋体" w:hAnsi="宋体" w:hint="eastAsia"/>
          <w:color w:val="000000"/>
        </w:rPr>
        <w:t>）升高，至少一次检测结果达到该检验正常参考值上限的</w:t>
      </w:r>
      <w:r>
        <w:rPr>
          <w:rFonts w:ascii="宋体" w:hAnsi="宋体"/>
          <w:color w:val="000000"/>
        </w:rPr>
        <w:t>15</w:t>
      </w:r>
      <w:r>
        <w:rPr>
          <w:rFonts w:ascii="宋体" w:hAnsi="宋体" w:hint="eastAsia"/>
          <w:color w:val="000000"/>
        </w:rPr>
        <w:t>倍（含）以上；</w:t>
      </w:r>
    </w:p>
    <w:p w14:paraId="58D2A9AF" w14:textId="77777777" w:rsidR="008F265F" w:rsidRDefault="00A542E4">
      <w:pPr>
        <w:autoSpaceDE w:val="0"/>
        <w:autoSpaceDN w:val="0"/>
        <w:adjustRightInd w:val="0"/>
        <w:ind w:firstLine="420"/>
        <w:rPr>
          <w:rFonts w:ascii="宋体" w:hAnsi="宋体"/>
          <w:color w:val="000000"/>
        </w:rPr>
      </w:pPr>
      <w:r>
        <w:rPr>
          <w:rFonts w:ascii="宋体" w:hAnsi="宋体"/>
          <w:color w:val="000000"/>
        </w:rPr>
        <w:t>2</w:t>
      </w:r>
      <w:r>
        <w:rPr>
          <w:rFonts w:ascii="宋体" w:hAnsi="宋体" w:hint="eastAsia"/>
          <w:color w:val="000000"/>
        </w:rPr>
        <w:t>．肌酸激酶同工酶（</w:t>
      </w:r>
      <w:r>
        <w:rPr>
          <w:rFonts w:ascii="宋体" w:hAnsi="宋体"/>
          <w:color w:val="000000"/>
        </w:rPr>
        <w:t>CK-MB</w:t>
      </w:r>
      <w:r>
        <w:rPr>
          <w:rFonts w:ascii="宋体" w:hAnsi="宋体" w:hint="eastAsia"/>
          <w:color w:val="000000"/>
        </w:rPr>
        <w:t>）升高，至少一次检测结果达到该检验正常参考值上限的</w:t>
      </w:r>
      <w:r>
        <w:rPr>
          <w:rFonts w:ascii="宋体" w:hAnsi="宋体"/>
          <w:color w:val="000000"/>
        </w:rPr>
        <w:t>2</w:t>
      </w:r>
      <w:r>
        <w:rPr>
          <w:rFonts w:ascii="宋体" w:hAnsi="宋体" w:hint="eastAsia"/>
          <w:color w:val="000000"/>
        </w:rPr>
        <w:t>倍（含）以上；</w:t>
      </w:r>
    </w:p>
    <w:p w14:paraId="24C47425" w14:textId="77777777" w:rsidR="008F265F" w:rsidRDefault="00A542E4">
      <w:pPr>
        <w:autoSpaceDE w:val="0"/>
        <w:autoSpaceDN w:val="0"/>
        <w:adjustRightInd w:val="0"/>
        <w:ind w:firstLine="420"/>
        <w:rPr>
          <w:rFonts w:ascii="宋体" w:hAnsi="宋体"/>
          <w:color w:val="000000"/>
        </w:rPr>
      </w:pPr>
      <w:r>
        <w:rPr>
          <w:rFonts w:ascii="宋体" w:hAnsi="宋体"/>
          <w:color w:val="000000"/>
        </w:rPr>
        <w:t>3</w:t>
      </w:r>
      <w:r>
        <w:rPr>
          <w:rFonts w:ascii="宋体" w:hAnsi="宋体" w:hint="eastAsia"/>
          <w:color w:val="000000"/>
        </w:rPr>
        <w:t>．出现左心室收缩功能下降，在确诊</w:t>
      </w:r>
      <w:r>
        <w:rPr>
          <w:rFonts w:ascii="宋体" w:hAnsi="宋体"/>
          <w:color w:val="000000"/>
        </w:rPr>
        <w:t>6</w:t>
      </w:r>
      <w:r>
        <w:rPr>
          <w:rFonts w:ascii="宋体" w:hAnsi="宋体" w:hint="eastAsia"/>
          <w:color w:val="000000"/>
        </w:rPr>
        <w:t>周以后，检测左室射血分数（</w:t>
      </w:r>
      <w:r>
        <w:rPr>
          <w:rFonts w:ascii="宋体" w:hAnsi="宋体"/>
          <w:color w:val="000000"/>
        </w:rPr>
        <w:t>LVEF</w:t>
      </w:r>
      <w:r>
        <w:rPr>
          <w:rFonts w:ascii="宋体" w:hAnsi="宋体" w:hint="eastAsia"/>
          <w:color w:val="000000"/>
        </w:rPr>
        <w:t>）低于</w:t>
      </w:r>
      <w:r>
        <w:rPr>
          <w:rFonts w:ascii="宋体" w:hAnsi="宋体"/>
          <w:color w:val="000000"/>
        </w:rPr>
        <w:t>50%</w:t>
      </w:r>
      <w:r>
        <w:rPr>
          <w:rFonts w:ascii="宋体" w:hAnsi="宋体" w:hint="eastAsia"/>
          <w:color w:val="000000"/>
        </w:rPr>
        <w:t>（不含）；</w:t>
      </w:r>
    </w:p>
    <w:p w14:paraId="1FA8738E" w14:textId="77777777" w:rsidR="008F265F" w:rsidRDefault="00A542E4">
      <w:pPr>
        <w:autoSpaceDE w:val="0"/>
        <w:autoSpaceDN w:val="0"/>
        <w:adjustRightInd w:val="0"/>
        <w:ind w:firstLine="420"/>
        <w:rPr>
          <w:rFonts w:ascii="宋体" w:hAnsi="宋体"/>
          <w:color w:val="000000"/>
        </w:rPr>
      </w:pPr>
      <w:r>
        <w:rPr>
          <w:rFonts w:ascii="宋体" w:hAnsi="宋体"/>
          <w:color w:val="000000"/>
        </w:rPr>
        <w:t>4</w:t>
      </w:r>
      <w:r>
        <w:rPr>
          <w:rFonts w:ascii="宋体" w:hAnsi="宋体" w:hint="eastAsia"/>
          <w:color w:val="000000"/>
        </w:rPr>
        <w:t>．影像学检查证实存在新发的乳头肌功能失调或断裂引起的中度（含）以上的二尖瓣反流；</w:t>
      </w:r>
    </w:p>
    <w:p w14:paraId="1C65C656" w14:textId="77777777" w:rsidR="008F265F" w:rsidRDefault="00A542E4">
      <w:pPr>
        <w:autoSpaceDE w:val="0"/>
        <w:autoSpaceDN w:val="0"/>
        <w:adjustRightInd w:val="0"/>
        <w:ind w:firstLine="420"/>
        <w:rPr>
          <w:rFonts w:ascii="宋体" w:hAnsi="宋体"/>
          <w:color w:val="000000"/>
        </w:rPr>
      </w:pPr>
      <w:r>
        <w:rPr>
          <w:rFonts w:ascii="宋体" w:hAnsi="宋体"/>
          <w:color w:val="000000"/>
        </w:rPr>
        <w:t>5</w:t>
      </w:r>
      <w:r>
        <w:rPr>
          <w:rFonts w:ascii="宋体" w:hAnsi="宋体" w:hint="eastAsia"/>
          <w:color w:val="000000"/>
        </w:rPr>
        <w:t>．影像学检查证实存在新出现的室壁瘤；</w:t>
      </w:r>
    </w:p>
    <w:p w14:paraId="07768A1E" w14:textId="77777777" w:rsidR="008F265F" w:rsidRDefault="00A542E4">
      <w:pPr>
        <w:autoSpaceDE w:val="0"/>
        <w:autoSpaceDN w:val="0"/>
        <w:adjustRightInd w:val="0"/>
        <w:ind w:firstLine="419"/>
        <w:rPr>
          <w:rFonts w:ascii="宋体" w:hAnsi="宋体"/>
          <w:color w:val="000000"/>
        </w:rPr>
      </w:pPr>
      <w:r>
        <w:rPr>
          <w:rFonts w:ascii="宋体" w:hAnsi="宋体"/>
          <w:color w:val="000000"/>
        </w:rPr>
        <w:t>6</w:t>
      </w:r>
      <w:r>
        <w:rPr>
          <w:rFonts w:ascii="宋体" w:hAnsi="宋体" w:hint="eastAsia"/>
          <w:color w:val="000000"/>
        </w:rPr>
        <w:t>．出现室性心动过速、心室颤动或心源性休克。</w:t>
      </w:r>
    </w:p>
    <w:p w14:paraId="699D4F34" w14:textId="77777777" w:rsidR="008F265F" w:rsidRPr="00FD5F2C" w:rsidRDefault="00A542E4">
      <w:pPr>
        <w:autoSpaceDE w:val="0"/>
        <w:autoSpaceDN w:val="0"/>
        <w:adjustRightInd w:val="0"/>
        <w:spacing w:beforeLines="50" w:before="156"/>
        <w:ind w:firstLine="419"/>
        <w:rPr>
          <w:rFonts w:ascii="宋体" w:hAnsi="宋体"/>
          <w:color w:val="000000"/>
          <w:shd w:val="pct15" w:color="auto" w:fill="FFFFFF"/>
        </w:rPr>
      </w:pPr>
      <w:r w:rsidRPr="00FD5F2C">
        <w:rPr>
          <w:rFonts w:ascii="宋体" w:hAnsi="宋体" w:hint="eastAsia"/>
          <w:color w:val="000000"/>
          <w:shd w:val="pct15" w:color="auto" w:fill="FFFFFF"/>
        </w:rPr>
        <w:t>其他非冠状动脉阻塞性疾病所引起的肌钙蛋白（</w:t>
      </w:r>
      <w:r w:rsidRPr="00FD5F2C">
        <w:rPr>
          <w:rFonts w:ascii="宋体" w:hAnsi="宋体"/>
          <w:color w:val="000000"/>
          <w:shd w:val="pct15" w:color="auto" w:fill="FFFFFF"/>
        </w:rPr>
        <w:t>cTn</w:t>
      </w:r>
      <w:r w:rsidRPr="00FD5F2C">
        <w:rPr>
          <w:rFonts w:ascii="宋体" w:hAnsi="宋体" w:hint="eastAsia"/>
          <w:color w:val="000000"/>
          <w:shd w:val="pct15" w:color="auto" w:fill="FFFFFF"/>
        </w:rPr>
        <w:t>）升高不在保障范围内。</w:t>
      </w:r>
    </w:p>
    <w:p w14:paraId="52F46178"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snapToGrid w:val="0"/>
          <w:color w:val="000000"/>
        </w:rPr>
        <w:t>严重脑中风后遗症</w:t>
      </w:r>
    </w:p>
    <w:p w14:paraId="044C21CC" w14:textId="77777777" w:rsidR="008F265F" w:rsidRDefault="00A542E4">
      <w:pPr>
        <w:autoSpaceDE w:val="0"/>
        <w:autoSpaceDN w:val="0"/>
        <w:adjustRightInd w:val="0"/>
        <w:spacing w:beforeLines="50" w:before="156"/>
        <w:rPr>
          <w:rFonts w:ascii="宋体" w:hAnsi="宋体"/>
          <w:color w:val="000000"/>
        </w:rPr>
      </w:pPr>
      <w:r>
        <w:rPr>
          <w:rFonts w:ascii="宋体" w:hAnsi="宋体"/>
          <w:color w:val="000000"/>
        </w:rPr>
        <w:t xml:space="preserve">    </w:t>
      </w:r>
      <w:r>
        <w:rPr>
          <w:rFonts w:ascii="宋体" w:hAnsi="宋体" w:hint="eastAsia"/>
          <w:color w:val="000000"/>
        </w:rPr>
        <w:t>指因脑血管的突发病变引起脑血管出血、栓塞或梗塞，须由头颅断层扫描（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）等影像学检查证实，并导致神经系统永久性的功能障碍。神经系统永久性的功能障碍，指疾病确诊</w:t>
      </w:r>
      <w:r>
        <w:rPr>
          <w:rFonts w:ascii="宋体" w:hAnsi="宋体"/>
          <w:color w:val="000000"/>
        </w:rPr>
        <w:t>180</w:t>
      </w:r>
      <w:r>
        <w:rPr>
          <w:rFonts w:ascii="宋体" w:hAnsi="宋体" w:hint="eastAsia"/>
          <w:color w:val="000000"/>
        </w:rPr>
        <w:t>天后，仍遗留下列至少一种障碍：</w:t>
      </w:r>
    </w:p>
    <w:p w14:paraId="77B9437B" w14:textId="77777777" w:rsidR="008F265F" w:rsidRDefault="00A542E4">
      <w:pPr>
        <w:autoSpaceDE w:val="0"/>
        <w:autoSpaceDN w:val="0"/>
        <w:adjustRightInd w:val="0"/>
        <w:rPr>
          <w:rFonts w:ascii="宋体" w:hAnsi="宋体"/>
          <w:color w:val="000000"/>
        </w:rPr>
      </w:pPr>
      <w:r>
        <w:rPr>
          <w:rFonts w:ascii="宋体" w:hAnsi="宋体"/>
          <w:color w:val="000000"/>
        </w:rPr>
        <w:t xml:space="preserve">    1</w:t>
      </w:r>
      <w:r>
        <w:rPr>
          <w:rFonts w:ascii="宋体" w:hAnsi="宋体" w:hint="eastAsia"/>
          <w:color w:val="000000"/>
        </w:rPr>
        <w:t>．一肢（含）以上</w:t>
      </w:r>
      <w:r>
        <w:rPr>
          <w:rFonts w:ascii="宋体" w:hAnsi="宋体" w:hint="eastAsia"/>
        </w:rPr>
        <w:t>肢体肌力</w:t>
      </w:r>
      <w:r>
        <w:rPr>
          <w:rFonts w:ascii="宋体" w:hAnsi="宋体"/>
        </w:rPr>
        <w:t>2</w:t>
      </w:r>
      <w:r>
        <w:rPr>
          <w:rFonts w:ascii="宋体" w:hAnsi="宋体" w:hint="eastAsia"/>
        </w:rPr>
        <w:t>级（含）以下</w:t>
      </w:r>
      <w:r>
        <w:rPr>
          <w:rFonts w:ascii="宋体" w:hAnsi="宋体" w:hint="eastAsia"/>
          <w:color w:val="000000"/>
        </w:rPr>
        <w:t>；</w:t>
      </w:r>
    </w:p>
    <w:p w14:paraId="195EC49D" w14:textId="77777777" w:rsidR="008F265F" w:rsidRDefault="00A542E4">
      <w:pPr>
        <w:autoSpaceDE w:val="0"/>
        <w:autoSpaceDN w:val="0"/>
        <w:adjustRightInd w:val="0"/>
        <w:rPr>
          <w:rFonts w:ascii="宋体" w:hAnsi="宋体"/>
          <w:color w:val="000000"/>
        </w:rPr>
      </w:pPr>
      <w:r>
        <w:rPr>
          <w:rFonts w:ascii="宋体" w:hAnsi="宋体"/>
          <w:color w:val="000000"/>
        </w:rPr>
        <w:lastRenderedPageBreak/>
        <w:t xml:space="preserve">    2</w:t>
      </w:r>
      <w:r>
        <w:rPr>
          <w:rFonts w:ascii="宋体" w:hAnsi="宋体" w:hint="eastAsia"/>
          <w:color w:val="000000"/>
        </w:rPr>
        <w:t>．</w:t>
      </w:r>
      <w:r>
        <w:rPr>
          <w:rFonts w:ascii="宋体" w:hAnsi="宋体" w:hint="eastAsia"/>
          <w:b/>
        </w:rPr>
        <w:t>语言能力完全丧失，或严重咀嚼吞咽功能障碍</w:t>
      </w:r>
      <w:r>
        <w:rPr>
          <w:rFonts w:ascii="宋体" w:hAnsi="宋体"/>
          <w:b/>
          <w:bCs/>
          <w:vertAlign w:val="superscript"/>
        </w:rPr>
        <w:footnoteReference w:id="43"/>
      </w:r>
      <w:r>
        <w:rPr>
          <w:rFonts w:ascii="宋体" w:hAnsi="宋体" w:hint="eastAsia"/>
          <w:color w:val="000000"/>
        </w:rPr>
        <w:t>；</w:t>
      </w:r>
    </w:p>
    <w:p w14:paraId="7A0C3AB3" w14:textId="77777777" w:rsidR="008F265F" w:rsidRDefault="00A542E4">
      <w:pPr>
        <w:autoSpaceDE w:val="0"/>
        <w:autoSpaceDN w:val="0"/>
        <w:adjustRightInd w:val="0"/>
        <w:rPr>
          <w:rFonts w:ascii="宋体" w:hAnsi="宋体"/>
          <w:color w:val="000000"/>
        </w:rPr>
      </w:pPr>
      <w:r>
        <w:rPr>
          <w:rFonts w:ascii="宋体" w:hAnsi="宋体"/>
          <w:color w:val="000000"/>
        </w:rPr>
        <w:t xml:space="preserve">    3</w:t>
      </w:r>
      <w:r>
        <w:rPr>
          <w:rFonts w:ascii="宋体" w:hAnsi="宋体" w:hint="eastAsia"/>
          <w:color w:val="000000"/>
        </w:rPr>
        <w:t>．自主生活能力完全丧失，无法独立完成</w:t>
      </w:r>
      <w:r>
        <w:rPr>
          <w:rFonts w:ascii="宋体" w:hAnsi="宋体" w:hint="eastAsia"/>
        </w:rPr>
        <w:t>六项基本日常生活活动</w:t>
      </w:r>
      <w:r>
        <w:rPr>
          <w:rFonts w:ascii="宋体" w:hAnsi="宋体" w:hint="eastAsia"/>
          <w:color w:val="000000"/>
        </w:rPr>
        <w:t>中的三项或三项以上。</w:t>
      </w:r>
    </w:p>
    <w:p w14:paraId="4234F15E"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重大器官移植术或造血干细胞移植术</w:t>
      </w:r>
    </w:p>
    <w:p w14:paraId="041C853C"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重大器官移植术，指因相应器官功能衰竭，已经实施了肾脏、肝脏、心脏、肺脏或小肠的异体移植手术。</w:t>
      </w:r>
    </w:p>
    <w:p w14:paraId="552FF95B"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造血干细胞移植术，指因造血功能损害或造血系统恶性肿瘤，已经实施了造血干细胞（包括骨髓造血干细胞、外周血造血干细胞和脐血造血干细胞）的移植手术。</w:t>
      </w:r>
    </w:p>
    <w:p w14:paraId="2C7DF87E"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冠状动脉搭桥术（或称冠状动脉旁路移植术）</w:t>
      </w:r>
    </w:p>
    <w:p w14:paraId="77B2CAD8"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指为治疗严重的冠心病，已经实施了切开心包进行的冠状动脉血管旁路移植的手术。</w:t>
      </w:r>
    </w:p>
    <w:p w14:paraId="211CAED7"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所有未切开心包的冠状动脉介入治疗不在保障范围内。</w:t>
      </w:r>
    </w:p>
    <w:p w14:paraId="646C3702"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严重慢性肾衰竭</w:t>
      </w:r>
    </w:p>
    <w:p w14:paraId="26873DD1"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指双肾功能慢性不可逆性衰竭，依据肾脏病预后质量倡议（</w:t>
      </w:r>
      <w:r>
        <w:rPr>
          <w:rFonts w:ascii="宋体" w:hAnsi="宋体"/>
          <w:color w:val="000000"/>
        </w:rPr>
        <w:t>K/DOQI</w:t>
      </w:r>
      <w:r>
        <w:rPr>
          <w:rFonts w:ascii="宋体" w:hAnsi="宋体" w:hint="eastAsia"/>
          <w:color w:val="000000"/>
        </w:rPr>
        <w:t>）制定的指南，分期达到慢性肾脏病</w:t>
      </w:r>
      <w:r>
        <w:rPr>
          <w:rFonts w:ascii="宋体" w:hAnsi="宋体"/>
          <w:color w:val="000000"/>
        </w:rPr>
        <w:t>5</w:t>
      </w:r>
      <w:r>
        <w:rPr>
          <w:rFonts w:ascii="宋体" w:hAnsi="宋体" w:hint="eastAsia"/>
          <w:color w:val="000000"/>
        </w:rPr>
        <w:t>期，且经诊断后已经进行了至少</w:t>
      </w:r>
      <w:r>
        <w:rPr>
          <w:rFonts w:ascii="宋体" w:hAnsi="宋体"/>
          <w:color w:val="000000"/>
        </w:rPr>
        <w:t>90</w:t>
      </w:r>
      <w:r>
        <w:rPr>
          <w:rFonts w:ascii="宋体" w:hAnsi="宋体" w:hint="eastAsia"/>
          <w:color w:val="000000"/>
        </w:rPr>
        <w:t>天的规</w:t>
      </w:r>
      <w:r>
        <w:rPr>
          <w:rFonts w:ascii="宋体" w:hAnsi="宋体" w:hint="eastAsia"/>
          <w:color w:val="000000"/>
        </w:rPr>
        <w:lastRenderedPageBreak/>
        <w:t>律性透析治疗。规律性透析是指每周进行血液透析或每天进行腹膜透析。</w:t>
      </w:r>
    </w:p>
    <w:p w14:paraId="2D5B3898"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多个肢体缺失</w:t>
      </w:r>
    </w:p>
    <w:p w14:paraId="1F96E581"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指因疾病或意外伤害导致两个或两个以上肢体自腕关节或踝关节近端（靠近躯干端）以上完全性断离。</w:t>
      </w:r>
    </w:p>
    <w:p w14:paraId="7AEF47DF"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急性重症肝炎或亚急性重症肝炎</w:t>
      </w:r>
    </w:p>
    <w:p w14:paraId="48A53730"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指因肝炎病毒感染引起肝脏组织弥漫性坏死，导致急性肝功能衰竭，且经血清学或病毒学检查证实，并须满足下列全部条件：</w:t>
      </w:r>
    </w:p>
    <w:p w14:paraId="05430BFA"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．重度黄疸或黄疸迅速加重；</w:t>
      </w:r>
    </w:p>
    <w:p w14:paraId="782F19A2"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．肝性脑病；</w:t>
      </w:r>
    </w:p>
    <w:p w14:paraId="41F7554F"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B</w:t>
      </w:r>
      <w:r>
        <w:rPr>
          <w:rFonts w:ascii="宋体" w:hAnsi="宋体" w:hint="eastAsia"/>
          <w:color w:val="000000"/>
        </w:rPr>
        <w:t>超或其他影像学检查显示肝脏体积急速萎缩；</w:t>
      </w:r>
    </w:p>
    <w:p w14:paraId="4890A279"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4</w:t>
      </w:r>
      <w:r>
        <w:rPr>
          <w:rFonts w:ascii="宋体" w:hAnsi="宋体" w:hint="eastAsia"/>
          <w:color w:val="000000"/>
        </w:rPr>
        <w:t>．肝功能指标进行性恶化。</w:t>
      </w:r>
    </w:p>
    <w:p w14:paraId="6FB5CF93"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严重非恶性颅内肿瘤</w:t>
      </w:r>
    </w:p>
    <w:p w14:paraId="2CE92F84"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指起源于脑、脑神经、脑被膜的非恶性肿瘤，</w:t>
      </w:r>
      <w:r>
        <w:rPr>
          <w:rFonts w:ascii="宋体" w:hAnsi="宋体"/>
          <w:color w:val="000000"/>
        </w:rPr>
        <w:t>ICD-O-3</w:t>
      </w:r>
      <w:r>
        <w:rPr>
          <w:rFonts w:ascii="宋体" w:hAnsi="宋体" w:hint="eastAsia"/>
          <w:color w:val="000000"/>
        </w:rPr>
        <w:t>肿瘤形态学编码属于</w:t>
      </w:r>
      <w:r>
        <w:rPr>
          <w:rFonts w:ascii="宋体" w:hAnsi="宋体"/>
          <w:color w:val="000000"/>
        </w:rPr>
        <w:t>0</w:t>
      </w:r>
      <w:r>
        <w:rPr>
          <w:rFonts w:ascii="宋体" w:hAnsi="宋体" w:hint="eastAsia"/>
          <w:color w:val="000000"/>
        </w:rPr>
        <w:t>（良性肿瘤）、</w:t>
      </w:r>
      <w:r>
        <w:rPr>
          <w:rFonts w:ascii="宋体" w:hAnsi="宋体"/>
          <w:color w:val="000000"/>
        </w:rPr>
        <w:t>1</w:t>
      </w:r>
      <w:r>
        <w:rPr>
          <w:rFonts w:ascii="宋体" w:hAnsi="宋体" w:hint="eastAsia"/>
          <w:color w:val="000000"/>
        </w:rPr>
        <w:t>（动态未定性肿瘤）范畴，并已经引起颅内压升高或神经系统功能损害，出现视乳头水肿或视觉受损、听觉受损、面部或肢体瘫痪、癫痫等，须由头颅断层扫描（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）或正电子发射断层扫描（</w:t>
      </w:r>
      <w:r>
        <w:rPr>
          <w:rFonts w:ascii="宋体" w:hAnsi="宋体"/>
          <w:color w:val="000000"/>
        </w:rPr>
        <w:t>PET</w:t>
      </w:r>
      <w:r>
        <w:rPr>
          <w:rFonts w:ascii="宋体" w:hAnsi="宋体" w:hint="eastAsia"/>
          <w:color w:val="000000"/>
        </w:rPr>
        <w:t>）等影像学检查证实，且须满足下列至少一项条件：</w:t>
      </w:r>
    </w:p>
    <w:p w14:paraId="08D0B133"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．已经实施了开颅进行的颅内肿瘤完全或部分切除手术；</w:t>
      </w:r>
    </w:p>
    <w:p w14:paraId="492AA7A0"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．已经实施了针对颅内肿瘤的放射治疗，如γ刀、质子重离子治疗等。</w:t>
      </w:r>
    </w:p>
    <w:p w14:paraId="046D8483"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下列疾病不在保障范围内：</w:t>
      </w:r>
    </w:p>
    <w:p w14:paraId="788151D4" w14:textId="77777777" w:rsidR="008F265F" w:rsidRPr="00FD5F2C" w:rsidRDefault="00A542E4">
      <w:pPr>
        <w:autoSpaceDE w:val="0"/>
        <w:autoSpaceDN w:val="0"/>
        <w:adjustRightInd w:val="0"/>
        <w:ind w:firstLineChars="200" w:firstLine="420"/>
        <w:rPr>
          <w:rFonts w:ascii="宋体" w:hAnsi="宋体"/>
          <w:color w:val="000000"/>
          <w:shd w:val="pct15" w:color="auto" w:fill="FFFFFF"/>
        </w:rPr>
      </w:pPr>
      <w:r w:rsidRPr="00FD5F2C">
        <w:rPr>
          <w:rFonts w:ascii="宋体" w:hAnsi="宋体"/>
          <w:color w:val="000000"/>
          <w:shd w:val="pct15" w:color="auto" w:fill="FFFFFF"/>
        </w:rPr>
        <w:t>1</w:t>
      </w:r>
      <w:r w:rsidRPr="00FD5F2C">
        <w:rPr>
          <w:rFonts w:ascii="宋体" w:hAnsi="宋体" w:hint="eastAsia"/>
          <w:color w:val="000000"/>
          <w:shd w:val="pct15" w:color="auto" w:fill="FFFFFF"/>
        </w:rPr>
        <w:t>．脑垂体瘤；</w:t>
      </w:r>
    </w:p>
    <w:p w14:paraId="142D33B8" w14:textId="77777777" w:rsidR="008F265F" w:rsidRPr="00FD5F2C" w:rsidRDefault="00A542E4">
      <w:pPr>
        <w:autoSpaceDE w:val="0"/>
        <w:autoSpaceDN w:val="0"/>
        <w:adjustRightInd w:val="0"/>
        <w:ind w:firstLineChars="200" w:firstLine="420"/>
        <w:rPr>
          <w:rFonts w:ascii="宋体" w:hAnsi="宋体"/>
          <w:color w:val="000000"/>
          <w:shd w:val="pct15" w:color="auto" w:fill="FFFFFF"/>
        </w:rPr>
      </w:pPr>
      <w:r w:rsidRPr="00FD5F2C">
        <w:rPr>
          <w:rFonts w:ascii="宋体" w:hAnsi="宋体"/>
          <w:color w:val="000000"/>
          <w:shd w:val="pct15" w:color="auto" w:fill="FFFFFF"/>
        </w:rPr>
        <w:lastRenderedPageBreak/>
        <w:t>2</w:t>
      </w:r>
      <w:r w:rsidRPr="00FD5F2C">
        <w:rPr>
          <w:rFonts w:ascii="宋体" w:hAnsi="宋体" w:hint="eastAsia"/>
          <w:color w:val="000000"/>
          <w:shd w:val="pct15" w:color="auto" w:fill="FFFFFF"/>
        </w:rPr>
        <w:t>．脑囊肿；</w:t>
      </w:r>
    </w:p>
    <w:p w14:paraId="2525DD82" w14:textId="77777777" w:rsidR="008F265F" w:rsidRPr="00FD5F2C" w:rsidRDefault="00A542E4">
      <w:pPr>
        <w:autoSpaceDE w:val="0"/>
        <w:autoSpaceDN w:val="0"/>
        <w:adjustRightInd w:val="0"/>
        <w:ind w:firstLineChars="200" w:firstLine="420"/>
        <w:rPr>
          <w:rFonts w:ascii="宋体" w:hAnsi="宋体"/>
          <w:color w:val="000000"/>
          <w:shd w:val="pct15" w:color="auto" w:fill="FFFFFF"/>
        </w:rPr>
      </w:pPr>
      <w:r w:rsidRPr="00FD5F2C">
        <w:rPr>
          <w:rFonts w:ascii="宋体" w:hAnsi="宋体"/>
          <w:color w:val="000000"/>
          <w:shd w:val="pct15" w:color="auto" w:fill="FFFFFF"/>
        </w:rPr>
        <w:t>3</w:t>
      </w:r>
      <w:r w:rsidRPr="00FD5F2C">
        <w:rPr>
          <w:rFonts w:ascii="宋体" w:hAnsi="宋体" w:hint="eastAsia"/>
          <w:color w:val="000000"/>
          <w:shd w:val="pct15" w:color="auto" w:fill="FFFFFF"/>
        </w:rPr>
        <w:t>．颅内血管性疾病（如脑动脉瘤、脑动静脉畸形、海绵状血管瘤、毛细血管扩张症等）。</w:t>
      </w:r>
    </w:p>
    <w:p w14:paraId="38AF7887"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严重慢性肝衰竭</w:t>
      </w:r>
    </w:p>
    <w:p w14:paraId="3EAFA4A4" w14:textId="77777777" w:rsidR="008F265F" w:rsidRDefault="00A542E4">
      <w:pPr>
        <w:tabs>
          <w:tab w:val="left" w:pos="900"/>
        </w:tabs>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指因慢性肝脏疾病导致的肝衰竭，且须满足下列全部条件：</w:t>
      </w:r>
    </w:p>
    <w:p w14:paraId="734BF9FF" w14:textId="77777777" w:rsidR="008F265F" w:rsidRDefault="00A542E4">
      <w:pPr>
        <w:tabs>
          <w:tab w:val="left" w:pos="900"/>
          <w:tab w:val="left" w:pos="1080"/>
          <w:tab w:val="left" w:pos="1260"/>
        </w:tabs>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．持续性黄疸；</w:t>
      </w:r>
    </w:p>
    <w:p w14:paraId="44C2A459"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．腹水；</w:t>
      </w:r>
    </w:p>
    <w:p w14:paraId="7A27B5C8"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．肝性脑病；</w:t>
      </w:r>
    </w:p>
    <w:p w14:paraId="6075B67C"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4</w:t>
      </w:r>
      <w:r>
        <w:rPr>
          <w:rFonts w:ascii="宋体" w:hAnsi="宋体" w:hint="eastAsia"/>
          <w:color w:val="000000"/>
        </w:rPr>
        <w:t>．充血性脾肿大伴脾功能亢进或食管胃底静脉曲张。</w:t>
      </w:r>
    </w:p>
    <w:p w14:paraId="1EE6A491"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因酗酒或药物滥用导致的肝衰竭不在保障范围内。</w:t>
      </w:r>
    </w:p>
    <w:p w14:paraId="11440946"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严重脑炎后遗症或严重脑膜炎后遗症</w:t>
      </w:r>
    </w:p>
    <w:p w14:paraId="7A24778D"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指因患脑炎或脑膜炎导致的神经系统永久性的功能障碍。神经系统永久性的功能障碍，指经相关专科医生确诊疾病</w:t>
      </w:r>
      <w:r>
        <w:rPr>
          <w:rFonts w:ascii="宋体" w:hAnsi="宋体"/>
          <w:color w:val="000000"/>
        </w:rPr>
        <w:t>180</w:t>
      </w:r>
      <w:r>
        <w:rPr>
          <w:rFonts w:ascii="宋体" w:hAnsi="宋体" w:hint="eastAsia"/>
          <w:color w:val="000000"/>
        </w:rPr>
        <w:t>天后，仍遗留下列至少一种障碍：</w:t>
      </w:r>
      <w:r>
        <w:rPr>
          <w:rFonts w:ascii="宋体" w:hAnsi="宋体"/>
          <w:color w:val="000000"/>
        </w:rPr>
        <w:t xml:space="preserve"> </w:t>
      </w:r>
    </w:p>
    <w:p w14:paraId="640B541B" w14:textId="77777777" w:rsidR="008F265F" w:rsidRDefault="00A542E4">
      <w:pPr>
        <w:tabs>
          <w:tab w:val="left" w:pos="1260"/>
        </w:tabs>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．一肢（含）以上肢体肌力</w:t>
      </w:r>
      <w:r>
        <w:rPr>
          <w:rFonts w:ascii="宋体" w:hAnsi="宋体"/>
          <w:color w:val="000000"/>
        </w:rPr>
        <w:t>2</w:t>
      </w:r>
      <w:r>
        <w:rPr>
          <w:rFonts w:ascii="宋体" w:hAnsi="宋体" w:hint="eastAsia"/>
          <w:color w:val="000000"/>
        </w:rPr>
        <w:t>级（含）以下；</w:t>
      </w:r>
    </w:p>
    <w:p w14:paraId="21A681A0" w14:textId="77777777" w:rsidR="008F265F" w:rsidRDefault="00A542E4">
      <w:pPr>
        <w:tabs>
          <w:tab w:val="left" w:pos="1260"/>
        </w:tabs>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．语言能力完全丧失，或严重咀嚼吞咽功能障碍；</w:t>
      </w:r>
    </w:p>
    <w:p w14:paraId="0BC7AD99" w14:textId="77777777" w:rsidR="008F265F" w:rsidRDefault="00A542E4">
      <w:pPr>
        <w:tabs>
          <w:tab w:val="left" w:pos="1260"/>
        </w:tabs>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．由具有评估资格的专科医生根据临床痴呆评定量表（</w:t>
      </w:r>
      <w:r>
        <w:rPr>
          <w:rFonts w:ascii="宋体" w:hAnsi="宋体"/>
          <w:color w:val="000000"/>
        </w:rPr>
        <w:t>CDR</w:t>
      </w:r>
      <w:r>
        <w:rPr>
          <w:rFonts w:ascii="宋体" w:hAnsi="宋体" w:hint="eastAsia"/>
          <w:color w:val="000000"/>
        </w:rPr>
        <w:t>，</w:t>
      </w:r>
      <w:r>
        <w:rPr>
          <w:rFonts w:ascii="宋体" w:hAnsi="宋体"/>
          <w:color w:val="000000"/>
        </w:rPr>
        <w:t>Clinical Dementia Rating</w:t>
      </w:r>
      <w:r>
        <w:rPr>
          <w:rFonts w:ascii="宋体" w:hAnsi="宋体" w:hint="eastAsia"/>
          <w:color w:val="000000"/>
        </w:rPr>
        <w:t>）评估结果为</w:t>
      </w:r>
      <w:r>
        <w:rPr>
          <w:rFonts w:ascii="宋体" w:hAnsi="宋体"/>
          <w:color w:val="000000"/>
        </w:rPr>
        <w:t>3</w:t>
      </w:r>
      <w:r>
        <w:rPr>
          <w:rFonts w:ascii="宋体" w:hAnsi="宋体" w:hint="eastAsia"/>
          <w:color w:val="000000"/>
        </w:rPr>
        <w:t>分；</w:t>
      </w:r>
    </w:p>
    <w:p w14:paraId="065B6B3A" w14:textId="77777777" w:rsidR="008F265F" w:rsidRDefault="00A542E4">
      <w:pPr>
        <w:tabs>
          <w:tab w:val="left" w:pos="1260"/>
        </w:tabs>
        <w:autoSpaceDE w:val="0"/>
        <w:autoSpaceDN w:val="0"/>
        <w:adjustRightInd w:val="0"/>
        <w:ind w:firstLineChars="200" w:firstLine="420"/>
        <w:rPr>
          <w:rFonts w:ascii="宋体" w:hAnsi="宋体"/>
          <w:color w:val="000000"/>
        </w:rPr>
      </w:pPr>
      <w:r>
        <w:rPr>
          <w:rFonts w:ascii="宋体" w:hAnsi="宋体"/>
          <w:color w:val="000000"/>
        </w:rPr>
        <w:t>4</w:t>
      </w:r>
      <w:r>
        <w:rPr>
          <w:rFonts w:ascii="宋体" w:hAnsi="宋体" w:hint="eastAsia"/>
          <w:color w:val="000000"/>
        </w:rPr>
        <w:t>．自主生活能力完全丧失，无法独立完成六项基本日常生活活动中的三项或三项以上。</w:t>
      </w:r>
    </w:p>
    <w:p w14:paraId="7C2D3CB9"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深度昏迷</w:t>
      </w:r>
    </w:p>
    <w:p w14:paraId="6E7F8F4C"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lastRenderedPageBreak/>
        <w:t>指因疾病或意外伤害导致意识丧失，对外界刺激和体内需求均无反应，昏迷程度按照格拉斯哥昏迷分级（</w:t>
      </w:r>
      <w:r>
        <w:rPr>
          <w:rFonts w:ascii="宋体" w:hAnsi="宋体"/>
          <w:color w:val="000000"/>
        </w:rPr>
        <w:t>GCS</w:t>
      </w:r>
      <w:r>
        <w:rPr>
          <w:rFonts w:ascii="宋体" w:hAnsi="宋体" w:hint="eastAsia"/>
          <w:color w:val="000000"/>
        </w:rPr>
        <w:t>，</w:t>
      </w:r>
      <w:r>
        <w:rPr>
          <w:rFonts w:ascii="宋体" w:hAnsi="宋体"/>
          <w:color w:val="000000"/>
        </w:rPr>
        <w:t>Glasgow Coma Scale</w:t>
      </w:r>
      <w:r>
        <w:rPr>
          <w:rFonts w:ascii="宋体" w:hAnsi="宋体" w:hint="eastAsia"/>
          <w:color w:val="000000"/>
        </w:rPr>
        <w:t>）结果为</w:t>
      </w:r>
      <w:r>
        <w:rPr>
          <w:rFonts w:ascii="宋体" w:hAnsi="宋体"/>
          <w:color w:val="000000"/>
        </w:rPr>
        <w:t>5</w:t>
      </w:r>
      <w:r>
        <w:rPr>
          <w:rFonts w:ascii="宋体" w:hAnsi="宋体" w:hint="eastAsia"/>
          <w:color w:val="000000"/>
        </w:rPr>
        <w:t>分或</w:t>
      </w:r>
      <w:r>
        <w:rPr>
          <w:rFonts w:ascii="宋体" w:hAnsi="宋体"/>
          <w:color w:val="000000"/>
        </w:rPr>
        <w:t>5</w:t>
      </w:r>
      <w:r>
        <w:rPr>
          <w:rFonts w:ascii="宋体" w:hAnsi="宋体" w:hint="eastAsia"/>
          <w:color w:val="000000"/>
        </w:rPr>
        <w:t>分以下，且已经持续使用呼吸机及其他生命维持系统</w:t>
      </w:r>
      <w:r>
        <w:rPr>
          <w:rFonts w:ascii="宋体" w:hAnsi="宋体"/>
          <w:color w:val="000000"/>
        </w:rPr>
        <w:t>96</w:t>
      </w:r>
      <w:r>
        <w:rPr>
          <w:rFonts w:ascii="宋体" w:hAnsi="宋体" w:hint="eastAsia"/>
          <w:color w:val="000000"/>
        </w:rPr>
        <w:t>小时以上。</w:t>
      </w:r>
    </w:p>
    <w:p w14:paraId="2EA94DD2"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因酗酒或药物滥用导致的深度昏迷不在保障范围内。</w:t>
      </w:r>
    </w:p>
    <w:p w14:paraId="301B4AD4"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双耳失聪——</w:t>
      </w:r>
      <w:r w:rsidRPr="00FD5F2C">
        <w:rPr>
          <w:rFonts w:ascii="宋体" w:hAnsi="宋体" w:cs="Arial" w:hint="eastAsia"/>
          <w:snapToGrid w:val="0"/>
          <w:color w:val="000000"/>
          <w:shd w:val="pct15" w:color="auto" w:fill="FFFFFF"/>
        </w:rPr>
        <w:t>三周岁后始理赔</w:t>
      </w:r>
    </w:p>
    <w:p w14:paraId="2212832E"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指因疾病或意外伤害导致双耳听力永久不可逆性丧失，在</w:t>
      </w:r>
      <w:r>
        <w:rPr>
          <w:rFonts w:ascii="宋体" w:hAnsi="宋体"/>
          <w:color w:val="000000"/>
        </w:rPr>
        <w:t>500</w:t>
      </w:r>
      <w:r>
        <w:rPr>
          <w:rFonts w:ascii="宋体" w:hAnsi="宋体" w:hint="eastAsia"/>
          <w:color w:val="000000"/>
        </w:rPr>
        <w:t>赫兹、</w:t>
      </w:r>
      <w:r>
        <w:rPr>
          <w:rFonts w:ascii="宋体" w:hAnsi="宋体"/>
          <w:color w:val="000000"/>
        </w:rPr>
        <w:t>1000</w:t>
      </w:r>
      <w:r>
        <w:rPr>
          <w:rFonts w:ascii="宋体" w:hAnsi="宋体" w:hint="eastAsia"/>
          <w:color w:val="000000"/>
        </w:rPr>
        <w:t>赫兹和</w:t>
      </w:r>
      <w:r>
        <w:rPr>
          <w:rFonts w:ascii="宋体" w:hAnsi="宋体"/>
          <w:color w:val="000000"/>
        </w:rPr>
        <w:t>2000</w:t>
      </w:r>
      <w:r>
        <w:rPr>
          <w:rFonts w:ascii="宋体" w:hAnsi="宋体" w:hint="eastAsia"/>
          <w:color w:val="000000"/>
        </w:rPr>
        <w:t>赫兹语音频率下，平均听阈大于等于</w:t>
      </w:r>
      <w:r>
        <w:rPr>
          <w:rFonts w:ascii="宋体" w:hAnsi="宋体"/>
          <w:color w:val="000000"/>
        </w:rPr>
        <w:t>91</w:t>
      </w:r>
      <w:r>
        <w:rPr>
          <w:rFonts w:ascii="宋体" w:hAnsi="宋体" w:hint="eastAsia"/>
          <w:color w:val="000000"/>
        </w:rPr>
        <w:t>分贝，且经纯音听力测试、声导抗检测或听觉诱发电位检测等证实。</w:t>
      </w:r>
    </w:p>
    <w:p w14:paraId="3B3F3F39"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申请理赔时，被保险人年龄须在三周岁以上，并且须提供理赔当时的听力丧失诊断及检查证据。</w:t>
      </w:r>
    </w:p>
    <w:p w14:paraId="04693A70"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双目失明——</w:t>
      </w:r>
      <w:r w:rsidRPr="00FD5F2C">
        <w:rPr>
          <w:rFonts w:ascii="宋体" w:hAnsi="宋体" w:cs="Arial" w:hint="eastAsia"/>
          <w:snapToGrid w:val="0"/>
          <w:color w:val="000000"/>
          <w:shd w:val="pct15" w:color="auto" w:fill="FFFFFF"/>
        </w:rPr>
        <w:t>三周岁后始理赔</w:t>
      </w:r>
    </w:p>
    <w:p w14:paraId="53F38E2A" w14:textId="77777777" w:rsidR="008F265F" w:rsidRDefault="00A542E4">
      <w:pPr>
        <w:autoSpaceDE w:val="0"/>
        <w:autoSpaceDN w:val="0"/>
        <w:adjustRightInd w:val="0"/>
        <w:spacing w:beforeLines="50" w:before="156"/>
        <w:ind w:left="420"/>
        <w:rPr>
          <w:rFonts w:ascii="宋体" w:hAnsi="宋体"/>
          <w:color w:val="000000"/>
        </w:rPr>
      </w:pPr>
      <w:r>
        <w:rPr>
          <w:rFonts w:ascii="宋体" w:hAnsi="宋体" w:hint="eastAsia"/>
          <w:color w:val="000000"/>
        </w:rPr>
        <w:t>指因疾病或意外伤害导致双眼视力永久不可逆性丧失，双眼中较好眼须满足下列至少一项条件：</w:t>
      </w:r>
      <w:r>
        <w:rPr>
          <w:rFonts w:ascii="宋体" w:hAnsi="宋体"/>
          <w:color w:val="000000"/>
        </w:rPr>
        <w:t>1</w:t>
      </w:r>
      <w:r>
        <w:rPr>
          <w:rFonts w:ascii="宋体" w:hAnsi="宋体" w:hint="eastAsia"/>
          <w:color w:val="000000"/>
        </w:rPr>
        <w:t>．眼球缺失或摘除；</w:t>
      </w:r>
    </w:p>
    <w:p w14:paraId="41A1B2EE"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．矫正视力低于</w:t>
      </w:r>
      <w:r>
        <w:rPr>
          <w:rFonts w:ascii="宋体" w:hAnsi="宋体"/>
          <w:color w:val="000000"/>
        </w:rPr>
        <w:t>0.02</w:t>
      </w:r>
      <w:r>
        <w:rPr>
          <w:rFonts w:ascii="宋体" w:hAnsi="宋体" w:hint="eastAsia"/>
          <w:color w:val="000000"/>
        </w:rPr>
        <w:t>（采用国际标准视力表，如果使用其他视力表应进行换算）；</w:t>
      </w:r>
    </w:p>
    <w:p w14:paraId="735A2DD9"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．视野半径小于</w:t>
      </w:r>
      <w:r>
        <w:rPr>
          <w:rFonts w:ascii="宋体" w:hAnsi="宋体"/>
          <w:color w:val="000000"/>
        </w:rPr>
        <w:t>5</w:t>
      </w:r>
      <w:r>
        <w:rPr>
          <w:rFonts w:ascii="宋体" w:hAnsi="宋体" w:hint="eastAsia"/>
          <w:color w:val="000000"/>
        </w:rPr>
        <w:t>度。</w:t>
      </w:r>
    </w:p>
    <w:p w14:paraId="659DD26B" w14:textId="77777777" w:rsidR="008F265F" w:rsidRPr="00FD5F2C" w:rsidRDefault="00A542E4">
      <w:pPr>
        <w:tabs>
          <w:tab w:val="left" w:pos="900"/>
        </w:tabs>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申请理赔时，被保险人年龄须在三周岁以上，并且须提供理赔当时的视力丧失诊断及检查证据。</w:t>
      </w:r>
    </w:p>
    <w:p w14:paraId="729E44FC"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瘫痪</w:t>
      </w:r>
    </w:p>
    <w:p w14:paraId="3CC969E3"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指因疾病或意外伤害导致两肢或两肢以上肢体随意运动功能永久完全</w:t>
      </w:r>
      <w:r>
        <w:rPr>
          <w:rFonts w:ascii="宋体" w:hAnsi="宋体" w:hint="eastAsia"/>
          <w:color w:val="000000"/>
        </w:rPr>
        <w:lastRenderedPageBreak/>
        <w:t>丧失。肢体随意运动功能永久完全丧失，指疾病确诊</w:t>
      </w:r>
      <w:r>
        <w:rPr>
          <w:rFonts w:ascii="宋体" w:hAnsi="宋体"/>
          <w:color w:val="000000"/>
        </w:rPr>
        <w:t>180</w:t>
      </w:r>
      <w:r>
        <w:rPr>
          <w:rFonts w:ascii="宋体" w:hAnsi="宋体" w:hint="eastAsia"/>
          <w:color w:val="000000"/>
        </w:rPr>
        <w:t>天后或意外伤害发生</w:t>
      </w:r>
      <w:r>
        <w:rPr>
          <w:rFonts w:ascii="宋体" w:hAnsi="宋体"/>
          <w:color w:val="000000"/>
        </w:rPr>
        <w:t>180</w:t>
      </w:r>
      <w:r>
        <w:rPr>
          <w:rFonts w:ascii="宋体" w:hAnsi="宋体" w:hint="eastAsia"/>
          <w:color w:val="000000"/>
        </w:rPr>
        <w:t>天后，每肢三大关节中的两大关节仍然完全僵硬，或肢体肌力在</w:t>
      </w:r>
      <w:r>
        <w:rPr>
          <w:rFonts w:ascii="宋体" w:hAnsi="宋体"/>
          <w:color w:val="000000"/>
        </w:rPr>
        <w:t>2</w:t>
      </w:r>
      <w:r>
        <w:rPr>
          <w:rFonts w:ascii="宋体" w:hAnsi="宋体" w:hint="eastAsia"/>
          <w:color w:val="000000"/>
        </w:rPr>
        <w:t>级（含）以下。</w:t>
      </w:r>
    </w:p>
    <w:p w14:paraId="15F00A80"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心脏瓣膜手术</w:t>
      </w:r>
    </w:p>
    <w:p w14:paraId="34CF8C98"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指为治疗心脏瓣膜疾病，已经实施了切开心脏进行的心脏瓣膜置换或修复的手术。</w:t>
      </w:r>
    </w:p>
    <w:p w14:paraId="1951709F"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所有未切开心脏的心脏瓣膜介入手术不在保障范围内。</w:t>
      </w:r>
    </w:p>
    <w:p w14:paraId="645A4F96"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严重阿尔茨海默病</w:t>
      </w:r>
    </w:p>
    <w:p w14:paraId="77AC26CC"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指因大脑进行性、不可逆性改变导致智能严重衰退或丧失，临床表现为严重的认知功能障碍、精神行为异常和社交能力减退等，其日常生活必须持续受到他人监护。须由头颅断层扫描（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）或正电子发射断层扫描（</w:t>
      </w:r>
      <w:r>
        <w:rPr>
          <w:rFonts w:ascii="宋体" w:hAnsi="宋体"/>
          <w:color w:val="000000"/>
        </w:rPr>
        <w:t>PET</w:t>
      </w:r>
      <w:r>
        <w:rPr>
          <w:rFonts w:ascii="宋体" w:hAnsi="宋体" w:hint="eastAsia"/>
          <w:color w:val="000000"/>
        </w:rPr>
        <w:t>）等影像学检查证实，并经相关专科医生确诊，且须满足下列至少一项条件：</w:t>
      </w:r>
    </w:p>
    <w:p w14:paraId="2259633C"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．由具有评估资格的专科医生根据临床痴呆评定量表（</w:t>
      </w:r>
      <w:r>
        <w:rPr>
          <w:rFonts w:ascii="宋体" w:hAnsi="宋体"/>
          <w:color w:val="000000"/>
        </w:rPr>
        <w:t>CDR</w:t>
      </w:r>
      <w:r>
        <w:rPr>
          <w:rFonts w:ascii="宋体" w:hAnsi="宋体" w:hint="eastAsia"/>
          <w:color w:val="000000"/>
        </w:rPr>
        <w:t>，</w:t>
      </w:r>
      <w:r>
        <w:rPr>
          <w:rFonts w:ascii="宋体" w:hAnsi="宋体"/>
          <w:color w:val="000000"/>
        </w:rPr>
        <w:t>Clinical Dementia Rating</w:t>
      </w:r>
      <w:r>
        <w:rPr>
          <w:rFonts w:ascii="宋体" w:hAnsi="宋体" w:hint="eastAsia"/>
          <w:color w:val="000000"/>
        </w:rPr>
        <w:t>）评估结果为</w:t>
      </w:r>
      <w:r>
        <w:rPr>
          <w:rFonts w:ascii="宋体" w:hAnsi="宋体"/>
          <w:color w:val="000000"/>
        </w:rPr>
        <w:t>3</w:t>
      </w:r>
      <w:r>
        <w:rPr>
          <w:rFonts w:ascii="宋体" w:hAnsi="宋体" w:hint="eastAsia"/>
          <w:color w:val="000000"/>
        </w:rPr>
        <w:t>分；</w:t>
      </w:r>
    </w:p>
    <w:p w14:paraId="5A40C9D7"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．自主生活能力完全丧失，无法独立完成六项基本日常生活活动中的三项或三项以上。</w:t>
      </w:r>
    </w:p>
    <w:p w14:paraId="028C1D2B"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阿尔茨海默病之外的其他类型痴呆不在保障范围内。</w:t>
      </w:r>
    </w:p>
    <w:p w14:paraId="5447A8DA"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严重脑损伤</w:t>
      </w:r>
    </w:p>
    <w:p w14:paraId="5C258FCF"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指因头部遭受机械性外力，引起脑重要部位损伤，导致神经系统永久性</w:t>
      </w:r>
      <w:r>
        <w:rPr>
          <w:rFonts w:ascii="宋体" w:hAnsi="宋体" w:hint="eastAsia"/>
          <w:color w:val="000000"/>
        </w:rPr>
        <w:lastRenderedPageBreak/>
        <w:t>的功能障碍。须由头颅断层扫描（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）或正电子发射断层扫描（</w:t>
      </w:r>
      <w:r>
        <w:rPr>
          <w:rFonts w:ascii="宋体" w:hAnsi="宋体"/>
          <w:color w:val="000000"/>
        </w:rPr>
        <w:t>PET</w:t>
      </w:r>
      <w:r>
        <w:rPr>
          <w:rFonts w:ascii="宋体" w:hAnsi="宋体" w:hint="eastAsia"/>
          <w:color w:val="000000"/>
        </w:rPr>
        <w:t>）等影像学检查证实。神经系统永久性的功能障碍，指脑损伤</w:t>
      </w:r>
      <w:r>
        <w:rPr>
          <w:rFonts w:ascii="宋体" w:hAnsi="宋体"/>
          <w:color w:val="000000"/>
        </w:rPr>
        <w:t>180</w:t>
      </w:r>
      <w:r>
        <w:rPr>
          <w:rFonts w:ascii="宋体" w:hAnsi="宋体" w:hint="eastAsia"/>
          <w:color w:val="000000"/>
        </w:rPr>
        <w:t>天后，仍遗留下列至少一种障碍：</w:t>
      </w:r>
    </w:p>
    <w:p w14:paraId="280AD629"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．一肢（含）以上肢体肌力</w:t>
      </w:r>
      <w:r>
        <w:rPr>
          <w:rFonts w:ascii="宋体" w:hAnsi="宋体"/>
          <w:color w:val="000000"/>
        </w:rPr>
        <w:t>2</w:t>
      </w:r>
      <w:r>
        <w:rPr>
          <w:rFonts w:ascii="宋体" w:hAnsi="宋体" w:hint="eastAsia"/>
          <w:color w:val="000000"/>
        </w:rPr>
        <w:t>级（含）以下；</w:t>
      </w:r>
    </w:p>
    <w:p w14:paraId="42C6B431"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．语言能力完全丧失，或严重咀嚼吞咽功能障碍；</w:t>
      </w:r>
    </w:p>
    <w:p w14:paraId="5BFB98B6"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．自主生活能力完全丧失，无法独立完成六项基本日常生活活动中的三项或三项以上。</w:t>
      </w:r>
    </w:p>
    <w:p w14:paraId="5E1E60F2"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严重原发性帕金森病</w:t>
      </w:r>
    </w:p>
    <w:p w14:paraId="4E7A1428"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是一种中枢神经系统的退行性疾病，临床表现为运动迟缓、静止性震颤或肌强直等，经相关专科医生确诊，且须满足自主生活能力完全丧失，无法独立完成六项基本日常生活活动中的三项或三项以上。</w:t>
      </w:r>
    </w:p>
    <w:p w14:paraId="3C64201E"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继发性帕金森综合征、帕金森叠加综合征不在保障范围内。</w:t>
      </w:r>
    </w:p>
    <w:p w14:paraId="6830F3B7"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w:t>
      </w:r>
      <w:r>
        <w:rPr>
          <w:rFonts w:ascii="宋体" w:hAnsi="宋体" w:hint="eastAsia"/>
          <w:snapToGrid w:val="0"/>
          <w:color w:val="000000"/>
        </w:rPr>
        <w:t>Ⅲ</w:t>
      </w:r>
      <w:r>
        <w:rPr>
          <w:rFonts w:ascii="宋体" w:hAnsi="宋体" w:cs="Arial" w:hint="eastAsia"/>
          <w:snapToGrid w:val="0"/>
          <w:color w:val="000000"/>
        </w:rPr>
        <w:t>度烧伤</w:t>
      </w:r>
    </w:p>
    <w:p w14:paraId="3902A4FF"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指烧伤程度为Ⅲ度，且Ⅲ度烧伤的面积达到全身体表面积的</w:t>
      </w:r>
      <w:r>
        <w:rPr>
          <w:rFonts w:ascii="宋体" w:hAnsi="宋体"/>
          <w:color w:val="000000"/>
        </w:rPr>
        <w:t>20</w:t>
      </w:r>
      <w:r>
        <w:rPr>
          <w:rFonts w:ascii="宋体" w:hAnsi="宋体" w:hint="eastAsia"/>
          <w:color w:val="000000"/>
        </w:rPr>
        <w:t>％或</w:t>
      </w:r>
      <w:r>
        <w:rPr>
          <w:rFonts w:ascii="宋体" w:hAnsi="宋体"/>
          <w:color w:val="000000"/>
        </w:rPr>
        <w:t>20</w:t>
      </w:r>
      <w:r>
        <w:rPr>
          <w:rFonts w:ascii="宋体" w:hAnsi="宋体" w:hint="eastAsia"/>
          <w:color w:val="000000"/>
        </w:rPr>
        <w:t>％以上。体表面积根据《中国新九分法》计算。</w:t>
      </w:r>
    </w:p>
    <w:p w14:paraId="3580AB98"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w:t>
      </w:r>
      <w:r>
        <w:rPr>
          <w:rFonts w:ascii="宋体" w:hAnsi="宋体" w:cs="Arial"/>
          <w:snapToGrid w:val="0"/>
          <w:color w:val="000000"/>
        </w:rPr>
        <w:t>特</w:t>
      </w:r>
      <w:r>
        <w:rPr>
          <w:rFonts w:ascii="宋体" w:hAnsi="宋体" w:cs="Arial" w:hint="eastAsia"/>
          <w:snapToGrid w:val="0"/>
          <w:color w:val="000000"/>
        </w:rPr>
        <w:t>发性肺动脉高压</w:t>
      </w:r>
    </w:p>
    <w:p w14:paraId="2443C1B5"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指不明原因的肺动脉压力持续性增高，进行性发展而导致的慢性疾病，已经造成永久不可逆性的体力活动能力受限，达到美国纽约心脏病学会（</w:t>
      </w:r>
      <w:r>
        <w:rPr>
          <w:rFonts w:ascii="宋体" w:hAnsi="宋体"/>
          <w:color w:val="000000"/>
        </w:rPr>
        <w:t>New York Heart Association</w:t>
      </w:r>
      <w:r>
        <w:rPr>
          <w:rFonts w:ascii="宋体" w:hAnsi="宋体" w:hint="eastAsia"/>
          <w:color w:val="000000"/>
        </w:rPr>
        <w:t>，</w:t>
      </w:r>
      <w:r>
        <w:rPr>
          <w:rFonts w:ascii="宋体" w:hAnsi="宋体"/>
          <w:color w:val="000000"/>
        </w:rPr>
        <w:t>NYHA</w:t>
      </w:r>
      <w:r>
        <w:rPr>
          <w:rFonts w:ascii="宋体" w:hAnsi="宋体" w:hint="eastAsia"/>
          <w:color w:val="000000"/>
        </w:rPr>
        <w:t>）心功能状态分级</w:t>
      </w:r>
      <w:r>
        <w:rPr>
          <w:rFonts w:ascii="宋体" w:hAnsi="宋体" w:hint="eastAsia"/>
        </w:rPr>
        <w:t>Ⅳ</w:t>
      </w:r>
      <w:r>
        <w:rPr>
          <w:rFonts w:ascii="宋体" w:hAnsi="宋体" w:hint="eastAsia"/>
          <w:color w:val="000000"/>
        </w:rPr>
        <w:t>级，且静息状态下肺动脉平均压在</w:t>
      </w:r>
      <w:r>
        <w:rPr>
          <w:rFonts w:ascii="宋体" w:hAnsi="宋体"/>
          <w:color w:val="000000"/>
        </w:rPr>
        <w:t>36mmHg</w:t>
      </w:r>
      <w:r>
        <w:rPr>
          <w:rFonts w:ascii="宋体" w:hAnsi="宋体" w:hint="eastAsia"/>
          <w:color w:val="000000"/>
        </w:rPr>
        <w:t>（含）以上。</w:t>
      </w:r>
    </w:p>
    <w:p w14:paraId="566B0E46"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lastRenderedPageBreak/>
        <w:t>严重运动神经元病</w:t>
      </w:r>
    </w:p>
    <w:p w14:paraId="640F853E"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是一组中枢神经系统运动神经元的进行性变性疾病，包括进行性脊肌萎缩症、进行性延髓麻痹症、原发性侧索硬化症、肌萎缩性侧索硬化症，经相关专科医生确诊，且须满足下列至少一项条件：</w:t>
      </w:r>
    </w:p>
    <w:p w14:paraId="4277985B" w14:textId="77777777" w:rsidR="008F265F" w:rsidRDefault="00A542E4">
      <w:pPr>
        <w:autoSpaceDE w:val="0"/>
        <w:autoSpaceDN w:val="0"/>
        <w:adjustRightInd w:val="0"/>
        <w:ind w:firstLine="420"/>
        <w:rPr>
          <w:rFonts w:ascii="宋体" w:hAnsi="宋体"/>
          <w:color w:val="000000"/>
        </w:rPr>
      </w:pPr>
      <w:r>
        <w:rPr>
          <w:rFonts w:ascii="宋体" w:hAnsi="宋体"/>
          <w:color w:val="000000"/>
        </w:rPr>
        <w:t>1</w:t>
      </w:r>
      <w:r>
        <w:rPr>
          <w:rFonts w:ascii="宋体" w:hAnsi="宋体" w:hint="eastAsia"/>
          <w:color w:val="000000"/>
        </w:rPr>
        <w:t>．严重咀嚼吞咽功能障碍；</w:t>
      </w:r>
    </w:p>
    <w:p w14:paraId="011CA611"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．呼吸肌麻痹导致严重呼吸困难，且已经持续使用呼吸机</w:t>
      </w:r>
      <w:r>
        <w:rPr>
          <w:rFonts w:ascii="宋体" w:hAnsi="宋体"/>
          <w:color w:val="000000"/>
        </w:rPr>
        <w:t>7</w:t>
      </w:r>
      <w:r>
        <w:rPr>
          <w:rFonts w:ascii="宋体" w:hAnsi="宋体" w:hint="eastAsia"/>
          <w:color w:val="000000"/>
        </w:rPr>
        <w:t>天（含）以上；</w:t>
      </w:r>
    </w:p>
    <w:p w14:paraId="431B86D5"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．自主生活能力完全丧失，无法独立完成六项基本日常生活活动中的三项或三项以上。</w:t>
      </w:r>
    </w:p>
    <w:p w14:paraId="12107D1D"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语言能力丧失——</w:t>
      </w:r>
      <w:r w:rsidRPr="00FD5F2C">
        <w:rPr>
          <w:rFonts w:ascii="宋体" w:hAnsi="宋体" w:cs="Arial" w:hint="eastAsia"/>
          <w:snapToGrid w:val="0"/>
          <w:color w:val="000000"/>
          <w:shd w:val="pct15" w:color="auto" w:fill="FFFFFF"/>
        </w:rPr>
        <w:t>三周岁后始理赔</w:t>
      </w:r>
    </w:p>
    <w:p w14:paraId="1D9C7769"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指因疾病或意外伤害导致语言能力完全丧失，经过积极治疗至少</w:t>
      </w:r>
      <w:r>
        <w:rPr>
          <w:rFonts w:ascii="宋体" w:hAnsi="宋体"/>
          <w:color w:val="000000"/>
        </w:rPr>
        <w:t>12</w:t>
      </w:r>
      <w:r>
        <w:rPr>
          <w:rFonts w:ascii="宋体" w:hAnsi="宋体" w:hint="eastAsia"/>
          <w:color w:val="000000"/>
        </w:rPr>
        <w:t>个月（声带完全切除不受此时间限制），仍无法通过现有医疗手段恢复。</w:t>
      </w:r>
    </w:p>
    <w:p w14:paraId="169DC1A0"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精神心理因素所致的语言能力丧失不在保障范围内。</w:t>
      </w:r>
    </w:p>
    <w:p w14:paraId="3D19DFBB"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申请理赔时，被保险人年龄须在三周岁以上，并且须提供理赔当时的语言能力丧失诊断及检查证据。</w:t>
      </w:r>
    </w:p>
    <w:p w14:paraId="24A8E326"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重型再生障碍性贫血</w:t>
      </w:r>
    </w:p>
    <w:p w14:paraId="7E1EF6F4" w14:textId="77777777" w:rsidR="008F265F" w:rsidRDefault="00A542E4">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指因骨髓造血功能慢性持续性衰竭导致的贫血、中性粒细胞减少及血小板减少，且须满足下列全部条件：</w:t>
      </w:r>
    </w:p>
    <w:p w14:paraId="04F4D9CB"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．骨髓穿刺检查或骨髓活检结果支持诊断：骨髓细胞增生程度＜正常的</w:t>
      </w:r>
      <w:r>
        <w:rPr>
          <w:rFonts w:ascii="宋体" w:hAnsi="宋体"/>
          <w:color w:val="000000"/>
        </w:rPr>
        <w:t>25%</w:t>
      </w:r>
      <w:r>
        <w:rPr>
          <w:rFonts w:ascii="宋体" w:hAnsi="宋体" w:hint="eastAsia"/>
          <w:color w:val="000000"/>
        </w:rPr>
        <w:t>；如≥正常的</w:t>
      </w:r>
      <w:r>
        <w:rPr>
          <w:rFonts w:ascii="宋体" w:hAnsi="宋体"/>
          <w:color w:val="000000"/>
        </w:rPr>
        <w:t>25%</w:t>
      </w:r>
      <w:r>
        <w:rPr>
          <w:rFonts w:ascii="宋体" w:hAnsi="宋体" w:hint="eastAsia"/>
          <w:color w:val="000000"/>
        </w:rPr>
        <w:t>但＜</w:t>
      </w:r>
      <w:r>
        <w:rPr>
          <w:rFonts w:ascii="宋体" w:hAnsi="宋体"/>
          <w:color w:val="000000"/>
        </w:rPr>
        <w:t>50%</w:t>
      </w:r>
      <w:r>
        <w:rPr>
          <w:rFonts w:ascii="宋体" w:hAnsi="宋体" w:hint="eastAsia"/>
          <w:color w:val="000000"/>
        </w:rPr>
        <w:t>，则残存的造血细胞应＜</w:t>
      </w:r>
      <w:r>
        <w:rPr>
          <w:rFonts w:ascii="宋体" w:hAnsi="宋体"/>
          <w:color w:val="000000"/>
        </w:rPr>
        <w:t>30%</w:t>
      </w:r>
      <w:r>
        <w:rPr>
          <w:rFonts w:ascii="宋体" w:hAnsi="宋体" w:hint="eastAsia"/>
          <w:color w:val="000000"/>
        </w:rPr>
        <w:t>；</w:t>
      </w:r>
    </w:p>
    <w:p w14:paraId="4053EAA2" w14:textId="77777777" w:rsidR="008F265F" w:rsidRDefault="00A542E4">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．外周血象须具备以下三项条件中的两项：</w:t>
      </w:r>
    </w:p>
    <w:p w14:paraId="6E5D10EE" w14:textId="77777777" w:rsidR="008F265F" w:rsidRDefault="00A542E4">
      <w:pPr>
        <w:autoSpaceDE w:val="0"/>
        <w:autoSpaceDN w:val="0"/>
        <w:adjustRightInd w:val="0"/>
        <w:ind w:firstLineChars="202" w:firstLine="424"/>
        <w:rPr>
          <w:rFonts w:ascii="宋体" w:hAnsi="宋体"/>
          <w:color w:val="000000"/>
        </w:rPr>
      </w:pPr>
      <w:r>
        <w:rPr>
          <w:rFonts w:ascii="宋体" w:hAnsi="宋体" w:hint="eastAsia"/>
          <w:color w:val="000000"/>
        </w:rPr>
        <w:lastRenderedPageBreak/>
        <w:t>（</w:t>
      </w:r>
      <w:r>
        <w:rPr>
          <w:rFonts w:ascii="宋体" w:hAnsi="宋体"/>
          <w:color w:val="000000"/>
        </w:rPr>
        <w:t>1</w:t>
      </w:r>
      <w:r>
        <w:rPr>
          <w:rFonts w:ascii="宋体" w:hAnsi="宋体" w:hint="eastAsia"/>
          <w:color w:val="000000"/>
        </w:rPr>
        <w:t>）中性粒细胞绝对值＜</w:t>
      </w:r>
      <w:r>
        <w:rPr>
          <w:rFonts w:ascii="宋体" w:hAnsi="宋体"/>
          <w:color w:val="000000"/>
        </w:rPr>
        <w:t>0.5</w:t>
      </w:r>
      <w:r>
        <w:rPr>
          <w:rFonts w:ascii="宋体" w:hAnsi="宋体" w:hint="eastAsia"/>
          <w:color w:val="000000"/>
        </w:rPr>
        <w:t>×</w:t>
      </w:r>
      <w:r>
        <w:rPr>
          <w:rFonts w:ascii="宋体" w:hAnsi="宋体"/>
          <w:color w:val="000000"/>
        </w:rPr>
        <w:t>10</w:t>
      </w:r>
      <w:r>
        <w:rPr>
          <w:rFonts w:ascii="宋体" w:hAnsi="宋体"/>
          <w:color w:val="000000"/>
          <w:vertAlign w:val="superscript"/>
        </w:rPr>
        <w:t>9</w:t>
      </w:r>
      <w:r>
        <w:rPr>
          <w:rFonts w:ascii="宋体" w:hAnsi="宋体"/>
          <w:color w:val="000000"/>
        </w:rPr>
        <w:t>/L</w:t>
      </w:r>
      <w:r>
        <w:rPr>
          <w:rFonts w:ascii="宋体" w:hAnsi="宋体" w:hint="eastAsia"/>
          <w:color w:val="000000"/>
        </w:rPr>
        <w:t>；</w:t>
      </w:r>
    </w:p>
    <w:p w14:paraId="035F70A0" w14:textId="77777777" w:rsidR="008F265F" w:rsidRDefault="00A542E4">
      <w:pPr>
        <w:autoSpaceDE w:val="0"/>
        <w:autoSpaceDN w:val="0"/>
        <w:adjustRightInd w:val="0"/>
        <w:ind w:firstLineChars="202" w:firstLine="424"/>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）网织红细胞计数＜</w:t>
      </w:r>
      <w:r>
        <w:rPr>
          <w:rFonts w:ascii="宋体" w:hAnsi="宋体"/>
          <w:color w:val="000000"/>
        </w:rPr>
        <w:t>20</w:t>
      </w:r>
      <w:r>
        <w:rPr>
          <w:rFonts w:ascii="宋体" w:hAnsi="宋体" w:hint="eastAsia"/>
          <w:color w:val="000000"/>
        </w:rPr>
        <w:t>×</w:t>
      </w:r>
      <w:r>
        <w:rPr>
          <w:rFonts w:ascii="宋体" w:hAnsi="宋体"/>
          <w:color w:val="000000"/>
        </w:rPr>
        <w:t>10</w:t>
      </w:r>
      <w:r>
        <w:rPr>
          <w:rFonts w:ascii="宋体" w:hAnsi="宋体"/>
          <w:color w:val="000000"/>
          <w:vertAlign w:val="superscript"/>
        </w:rPr>
        <w:t>9</w:t>
      </w:r>
      <w:r>
        <w:rPr>
          <w:rFonts w:ascii="宋体" w:hAnsi="宋体"/>
          <w:color w:val="000000"/>
        </w:rPr>
        <w:t>/L</w:t>
      </w:r>
      <w:r>
        <w:rPr>
          <w:rFonts w:ascii="宋体" w:hAnsi="宋体" w:hint="eastAsia"/>
          <w:color w:val="000000"/>
        </w:rPr>
        <w:t>；</w:t>
      </w:r>
    </w:p>
    <w:p w14:paraId="7F706ED5" w14:textId="77777777" w:rsidR="008F265F" w:rsidRDefault="00A542E4">
      <w:pPr>
        <w:autoSpaceDE w:val="0"/>
        <w:autoSpaceDN w:val="0"/>
        <w:adjustRightInd w:val="0"/>
        <w:ind w:firstLineChars="202" w:firstLine="424"/>
        <w:rPr>
          <w:rFonts w:ascii="宋体" w:hAnsi="宋体"/>
          <w:color w:val="000000"/>
        </w:rPr>
      </w:pPr>
      <w:r>
        <w:rPr>
          <w:rFonts w:ascii="宋体" w:hAnsi="宋体" w:hint="eastAsia"/>
          <w:color w:val="000000"/>
        </w:rPr>
        <w:t>（</w:t>
      </w:r>
      <w:r>
        <w:rPr>
          <w:rFonts w:ascii="宋体" w:hAnsi="宋体"/>
          <w:color w:val="000000"/>
        </w:rPr>
        <w:t>3</w:t>
      </w:r>
      <w:r>
        <w:rPr>
          <w:rFonts w:ascii="宋体" w:hAnsi="宋体" w:hint="eastAsia"/>
          <w:color w:val="000000"/>
        </w:rPr>
        <w:t>）血小板绝对值＜</w:t>
      </w:r>
      <w:r>
        <w:rPr>
          <w:rFonts w:ascii="宋体" w:hAnsi="宋体"/>
          <w:color w:val="000000"/>
        </w:rPr>
        <w:t>20</w:t>
      </w:r>
      <w:r>
        <w:rPr>
          <w:rFonts w:ascii="宋体" w:hAnsi="宋体" w:hint="eastAsia"/>
          <w:color w:val="000000"/>
        </w:rPr>
        <w:t>×</w:t>
      </w:r>
      <w:r>
        <w:rPr>
          <w:rFonts w:ascii="宋体" w:hAnsi="宋体"/>
          <w:color w:val="000000"/>
        </w:rPr>
        <w:t>10</w:t>
      </w:r>
      <w:r>
        <w:rPr>
          <w:rFonts w:ascii="宋体" w:hAnsi="宋体"/>
          <w:color w:val="000000"/>
          <w:vertAlign w:val="superscript"/>
        </w:rPr>
        <w:t>9</w:t>
      </w:r>
      <w:r>
        <w:rPr>
          <w:rFonts w:ascii="宋体" w:hAnsi="宋体"/>
          <w:color w:val="000000"/>
        </w:rPr>
        <w:t>/L</w:t>
      </w:r>
      <w:r>
        <w:rPr>
          <w:rFonts w:ascii="宋体" w:hAnsi="宋体" w:hint="eastAsia"/>
          <w:color w:val="000000"/>
        </w:rPr>
        <w:t>。</w:t>
      </w:r>
    </w:p>
    <w:p w14:paraId="1758D0E0"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主动脉手术</w:t>
      </w:r>
    </w:p>
    <w:p w14:paraId="4551DFA4"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hint="eastAsia"/>
          <w:color w:val="000000"/>
        </w:rPr>
        <w:t>指为治疗主动脉疾病或主动脉创伤，已经实施了开胸（含胸腔镜下）或开腹（含腹腔镜下）进行的切除、置换、修补病损主动脉血管、主动脉创伤后修复的手术。主动脉指升主动脉、主动脉弓和降主动脉（含胸主动脉和腹主动脉），</w:t>
      </w:r>
      <w:r w:rsidRPr="00FD5F2C">
        <w:rPr>
          <w:rFonts w:ascii="宋体" w:hAnsi="宋体" w:hint="eastAsia"/>
          <w:color w:val="000000"/>
          <w:shd w:val="pct15" w:color="auto" w:fill="FFFFFF"/>
        </w:rPr>
        <w:t>不包括升主动脉、主动脉弓和降主动脉的分支血管</w:t>
      </w:r>
      <w:r w:rsidRPr="00FD5F2C">
        <w:rPr>
          <w:rFonts w:ascii="宋体" w:hAnsi="宋体" w:hint="eastAsia"/>
          <w:color w:val="000000"/>
        </w:rPr>
        <w:t>。</w:t>
      </w:r>
    </w:p>
    <w:p w14:paraId="70FD6E3E" w14:textId="77777777" w:rsidR="008F265F" w:rsidRPr="00FD5F2C" w:rsidRDefault="00A542E4">
      <w:pPr>
        <w:autoSpaceDE w:val="0"/>
        <w:autoSpaceDN w:val="0"/>
        <w:adjustRightInd w:val="0"/>
        <w:spacing w:beforeLines="50" w:before="156"/>
        <w:ind w:firstLineChars="200" w:firstLine="420"/>
        <w:rPr>
          <w:rFonts w:ascii="宋体" w:hAnsi="宋体"/>
          <w:color w:val="000000"/>
          <w:shd w:val="pct15" w:color="auto" w:fill="FFFFFF"/>
        </w:rPr>
      </w:pPr>
      <w:r w:rsidRPr="00FD5F2C">
        <w:rPr>
          <w:rFonts w:ascii="宋体" w:hAnsi="宋体" w:hint="eastAsia"/>
          <w:color w:val="000000"/>
          <w:shd w:val="pct15" w:color="auto" w:fill="FFFFFF"/>
        </w:rPr>
        <w:t>所有未实施开胸或开腹的动脉内介入治疗不在保障范围内。</w:t>
      </w:r>
    </w:p>
    <w:p w14:paraId="457B2E4B"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严重慢性呼吸衰竭</w:t>
      </w:r>
    </w:p>
    <w:p w14:paraId="21ABD122"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指因慢性呼吸系统疾病导致永久不可逆性的呼吸衰竭，经过积极治疗</w:t>
      </w:r>
      <w:r>
        <w:rPr>
          <w:rFonts w:ascii="宋体" w:hAnsi="宋体" w:cs="Arial"/>
          <w:snapToGrid w:val="0"/>
          <w:color w:val="000000"/>
        </w:rPr>
        <w:t>180</w:t>
      </w:r>
      <w:r>
        <w:rPr>
          <w:rFonts w:ascii="宋体" w:hAnsi="宋体" w:cs="Arial" w:hint="eastAsia"/>
          <w:snapToGrid w:val="0"/>
          <w:color w:val="000000"/>
        </w:rPr>
        <w:t>天后满足以下所有条件：</w:t>
      </w:r>
    </w:p>
    <w:p w14:paraId="5782CFAE"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．静息时出现呼吸困难；</w:t>
      </w:r>
    </w:p>
    <w:p w14:paraId="5066273E"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．肺功能第一秒用力呼气容积（</w:t>
      </w:r>
      <w:r>
        <w:rPr>
          <w:rFonts w:ascii="宋体" w:hAnsi="宋体" w:cs="Arial"/>
          <w:snapToGrid w:val="0"/>
          <w:color w:val="000000"/>
        </w:rPr>
        <w:t>FEV</w:t>
      </w:r>
      <w:r>
        <w:rPr>
          <w:rFonts w:ascii="宋体" w:hAnsi="宋体" w:cs="Arial"/>
          <w:snapToGrid w:val="0"/>
          <w:color w:val="000000"/>
          <w:vertAlign w:val="subscript"/>
        </w:rPr>
        <w:t>1</w:t>
      </w:r>
      <w:r>
        <w:rPr>
          <w:rFonts w:ascii="宋体" w:hAnsi="宋体" w:cs="Arial" w:hint="eastAsia"/>
          <w:snapToGrid w:val="0"/>
          <w:color w:val="000000"/>
        </w:rPr>
        <w:t>）占预计值的百分比＜</w:t>
      </w:r>
      <w:r>
        <w:rPr>
          <w:rFonts w:ascii="宋体" w:hAnsi="宋体" w:cs="Arial"/>
          <w:snapToGrid w:val="0"/>
          <w:color w:val="000000"/>
        </w:rPr>
        <w:t>30%</w:t>
      </w:r>
      <w:r>
        <w:rPr>
          <w:rFonts w:ascii="宋体" w:hAnsi="宋体" w:cs="Arial" w:hint="eastAsia"/>
          <w:snapToGrid w:val="0"/>
          <w:color w:val="000000"/>
        </w:rPr>
        <w:t>；</w:t>
      </w:r>
    </w:p>
    <w:p w14:paraId="79FC57FA"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Pr>
          <w:rFonts w:ascii="宋体" w:hAnsi="宋体" w:cs="Arial" w:hint="eastAsia"/>
          <w:snapToGrid w:val="0"/>
          <w:color w:val="000000"/>
        </w:rPr>
        <w:t>．在静息状态、呼吸空气条件下，动脉血氧分压（</w:t>
      </w:r>
      <w:r>
        <w:rPr>
          <w:rFonts w:ascii="宋体" w:hAnsi="宋体" w:cs="Arial"/>
          <w:snapToGrid w:val="0"/>
          <w:color w:val="000000"/>
        </w:rPr>
        <w:t>PaO</w:t>
      </w:r>
      <w:r>
        <w:rPr>
          <w:rFonts w:ascii="宋体" w:hAnsi="宋体" w:cs="Arial"/>
          <w:snapToGrid w:val="0"/>
          <w:color w:val="000000"/>
          <w:vertAlign w:val="subscript"/>
        </w:rPr>
        <w:t>2</w:t>
      </w:r>
      <w:r>
        <w:rPr>
          <w:rFonts w:ascii="宋体" w:hAnsi="宋体" w:cs="Arial" w:hint="eastAsia"/>
          <w:snapToGrid w:val="0"/>
          <w:color w:val="000000"/>
        </w:rPr>
        <w:t>）＜</w:t>
      </w:r>
      <w:r>
        <w:rPr>
          <w:rFonts w:ascii="宋体" w:hAnsi="宋体" w:cs="Arial"/>
          <w:snapToGrid w:val="0"/>
          <w:color w:val="000000"/>
        </w:rPr>
        <w:t>50mmHg</w:t>
      </w:r>
      <w:r>
        <w:rPr>
          <w:rFonts w:ascii="宋体" w:hAnsi="宋体" w:cs="Arial" w:hint="eastAsia"/>
          <w:snapToGrid w:val="0"/>
          <w:color w:val="000000"/>
        </w:rPr>
        <w:t>。</w:t>
      </w:r>
    </w:p>
    <w:p w14:paraId="60C80595"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严重克罗恩病</w:t>
      </w:r>
    </w:p>
    <w:p w14:paraId="748B1764"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指一种慢性肉芽肿性肠炎，具有特征性的克罗恩病（</w:t>
      </w:r>
      <w:r>
        <w:rPr>
          <w:rFonts w:ascii="宋体" w:hAnsi="宋体" w:cs="Arial"/>
          <w:snapToGrid w:val="0"/>
          <w:color w:val="000000"/>
        </w:rPr>
        <w:t>Crohn</w:t>
      </w:r>
      <w:r>
        <w:rPr>
          <w:rFonts w:ascii="宋体" w:hAnsi="宋体" w:cs="Arial" w:hint="eastAsia"/>
          <w:snapToGrid w:val="0"/>
          <w:color w:val="000000"/>
        </w:rPr>
        <w:t>病）病理组织学变化，须根据组织病理学特点诊断，且已经造成瘘管形成并伴有肠梗阻或肠穿孔。</w:t>
      </w:r>
    </w:p>
    <w:p w14:paraId="170D579C"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严重溃疡性</w:t>
      </w:r>
      <w:r>
        <w:rPr>
          <w:rFonts w:ascii="宋体" w:hAnsi="宋体" w:cs="Arial"/>
          <w:snapToGrid w:val="0"/>
          <w:color w:val="000000"/>
        </w:rPr>
        <w:t>结肠炎</w:t>
      </w:r>
    </w:p>
    <w:p w14:paraId="75E6ADF2"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lastRenderedPageBreak/>
        <w:t>指伴有致命性电解质紊乱的急性暴发性溃疡性结肠炎，病变已经累及全结肠，表现为严重的血便和系统性症状体征，须根据组织病理学特点诊断，且已经实施了结肠切除或回肠造瘘术。</w:t>
      </w:r>
    </w:p>
    <w:p w14:paraId="2DAC188C"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胰腺移植术</w:t>
      </w:r>
    </w:p>
    <w:p w14:paraId="3E36819C"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指胰腺功能衰竭，实际实施了胰腺的异体移植手术。</w:t>
      </w:r>
    </w:p>
    <w:p w14:paraId="4C1713D7"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单纯胰岛移植、部分胰腺组织或细胞的移植不在保障范围内。</w:t>
      </w:r>
    </w:p>
    <w:p w14:paraId="2C60F49A"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埃博拉出血热</w:t>
      </w:r>
    </w:p>
    <w:p w14:paraId="1E947517"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指埃博拉病毒（Ebola virus，又称伊波拉病毒）感染导致的急性出血性传染病。埃博拉病毒病必须经国家认可的有合法资质的传染病专家确诊并且接受了隔离和治疗，必须满足以下所有条件：</w:t>
      </w:r>
    </w:p>
    <w:p w14:paraId="405CAF39"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1．实验室检查证实存在埃博拉病毒；</w:t>
      </w:r>
    </w:p>
    <w:p w14:paraId="3EBAFC91" w14:textId="77777777" w:rsidR="008F265F" w:rsidRDefault="00A542E4">
      <w:pPr>
        <w:autoSpaceDE w:val="0"/>
        <w:autoSpaceDN w:val="0"/>
        <w:adjustRightInd w:val="0"/>
        <w:ind w:firstLineChars="200" w:firstLine="420"/>
        <w:rPr>
          <w:rFonts w:ascii="宋体" w:hAnsi="宋体" w:cs="Arial"/>
          <w:snapToGrid w:val="0"/>
          <w:color w:val="000000"/>
          <w:shd w:val="pct10" w:color="auto" w:fill="FFFFFF"/>
        </w:rPr>
      </w:pPr>
      <w:r>
        <w:rPr>
          <w:rFonts w:ascii="宋体" w:hAnsi="宋体" w:cs="Arial" w:hint="eastAsia"/>
          <w:snapToGrid w:val="0"/>
          <w:color w:val="000000"/>
        </w:rPr>
        <w:t>2．存在持续30天（含）以上广泛出血的临床表现。</w:t>
      </w:r>
    </w:p>
    <w:p w14:paraId="26781EDE" w14:textId="77777777" w:rsidR="008F265F" w:rsidRDefault="00A542E4">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丝虫感染所致严重象皮病</w:t>
      </w:r>
    </w:p>
    <w:p w14:paraId="6944FC78" w14:textId="77777777" w:rsidR="008F265F" w:rsidRDefault="00A542E4">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rPr>
        <w:t>指因丝虫感染导致淋巴管阻塞而造成身体组织出现严重淋巴水肿，达到国际淋巴学会淋巴水肿分期第Ⅲ期，其临床表现为肢体非凹陷性水肿伴畸形增大、硬皮症和疣状增生。本病须经我们认可的专科医生根据临床表现和微丝蚴的化验结果确诊。</w:t>
      </w:r>
    </w:p>
    <w:p w14:paraId="16966EEC"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snapToGrid w:val="0"/>
          <w:color w:val="000000"/>
        </w:rPr>
        <w:t>主动脉夹层血肿</w:t>
      </w:r>
    </w:p>
    <w:p w14:paraId="242A19B8"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是指主动脉壁在受到某些病理因素的破坏后，高速、高压的主动脉血流将其内膜撕裂，以致主动脉腔内的血流通过主动脉内膜的破裂口进入主动</w:t>
      </w:r>
      <w:r>
        <w:rPr>
          <w:rFonts w:ascii="宋体" w:hAnsi="宋体" w:cs="Arial" w:hint="eastAsia"/>
          <w:snapToGrid w:val="0"/>
          <w:color w:val="000000"/>
        </w:rPr>
        <w:lastRenderedPageBreak/>
        <w:t>脉内壁而形成血肿。被保险人需通过</w:t>
      </w:r>
      <w:r>
        <w:rPr>
          <w:rFonts w:ascii="宋体" w:hAnsi="宋体" w:cs="Arial"/>
          <w:snapToGrid w:val="0"/>
          <w:color w:val="000000"/>
        </w:rPr>
        <w:t>X</w:t>
      </w:r>
      <w:r>
        <w:rPr>
          <w:rFonts w:ascii="宋体" w:hAnsi="宋体" w:cs="Arial" w:hint="eastAsia"/>
          <w:snapToGrid w:val="0"/>
          <w:color w:val="000000"/>
        </w:rPr>
        <w:t>线断层扫描（</w:t>
      </w:r>
      <w:r>
        <w:rPr>
          <w:rFonts w:ascii="宋体" w:hAnsi="宋体" w:cs="Arial"/>
          <w:snapToGrid w:val="0"/>
          <w:color w:val="000000"/>
        </w:rPr>
        <w:t>CT</w:t>
      </w:r>
      <w:r>
        <w:rPr>
          <w:rFonts w:ascii="宋体" w:hAnsi="宋体" w:cs="Arial" w:hint="eastAsia"/>
          <w:snapToGrid w:val="0"/>
          <w:color w:val="000000"/>
        </w:rPr>
        <w:t>）、磁共振扫描（</w:t>
      </w:r>
      <w:r>
        <w:rPr>
          <w:rFonts w:ascii="宋体" w:hAnsi="宋体" w:cs="Arial"/>
          <w:snapToGrid w:val="0"/>
          <w:color w:val="000000"/>
        </w:rPr>
        <w:t>MRI</w:t>
      </w:r>
      <w:r>
        <w:rPr>
          <w:rFonts w:ascii="宋体" w:hAnsi="宋体" w:cs="Arial" w:hint="eastAsia"/>
          <w:snapToGrid w:val="0"/>
          <w:color w:val="000000"/>
        </w:rPr>
        <w:t>）、磁共振血管检验法（</w:t>
      </w:r>
      <w:r>
        <w:rPr>
          <w:rFonts w:ascii="宋体" w:hAnsi="宋体" w:cs="Arial"/>
          <w:snapToGrid w:val="0"/>
          <w:color w:val="000000"/>
        </w:rPr>
        <w:t>MRA</w:t>
      </w:r>
      <w:r>
        <w:rPr>
          <w:rFonts w:ascii="宋体" w:hAnsi="宋体" w:cs="Arial" w:hint="eastAsia"/>
          <w:snapToGrid w:val="0"/>
          <w:color w:val="000000"/>
        </w:rPr>
        <w:t>）或血管扫描等检查，并且实施了胸腹切开的直视主动脉手术。</w:t>
      </w:r>
    </w:p>
    <w:p w14:paraId="7E297458"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克雅氏病</w:t>
      </w:r>
    </w:p>
    <w:p w14:paraId="17613F45"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传染性海绵状脑病，临床表现为快速进行性痴呆、肌阵挛和特征性脑电图变化。本病须经三级医院的专科医师根据WHO诊断标准明确诊断，并且被保险人永久不可逆丧失自主生活能力，无法独立完成六项基本日常生活活动中的三项或三项以上。</w:t>
      </w:r>
    </w:p>
    <w:p w14:paraId="08C4F1BE"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破裂脑动脉瘤开颅夹闭手术</w:t>
      </w:r>
    </w:p>
    <w:p w14:paraId="067AB7E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指因脑动脉瘤破裂造成蛛网膜下腔出血，被保险人实际实施了在全麻下进行的开颅动脉瘤夹闭手术。</w:t>
      </w:r>
    </w:p>
    <w:p w14:paraId="2CEED7E4"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颅骨钻孔手术、动脉瘤栓塞手术、血管内手术、脑动脉瘤（未破裂）预防性手术及其他颅脑手术不在保障范围内。</w:t>
      </w:r>
    </w:p>
    <w:p w14:paraId="61DD02AB"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经输血导致的</w:t>
      </w:r>
      <w:r>
        <w:rPr>
          <w:rFonts w:ascii="宋体" w:hAnsi="宋体" w:cs="Arial"/>
          <w:snapToGrid w:val="0"/>
          <w:color w:val="000000"/>
        </w:rPr>
        <w:t>HIV</w:t>
      </w:r>
      <w:r>
        <w:rPr>
          <w:rFonts w:ascii="宋体" w:hAnsi="宋体" w:cs="Arial" w:hint="eastAsia"/>
          <w:snapToGrid w:val="0"/>
          <w:color w:val="000000"/>
        </w:rPr>
        <w:t>感染</w:t>
      </w:r>
    </w:p>
    <w:p w14:paraId="76BC46D7" w14:textId="77777777" w:rsidR="008F265F" w:rsidRDefault="00A542E4">
      <w:pPr>
        <w:spacing w:beforeLines="50" w:before="156"/>
        <w:ind w:firstLine="420"/>
        <w:rPr>
          <w:rFonts w:ascii="宋体" w:hAnsi="宋体"/>
          <w:snapToGrid w:val="0"/>
        </w:rPr>
      </w:pPr>
      <w:r>
        <w:rPr>
          <w:rFonts w:ascii="宋体" w:hAnsi="宋体" w:hint="eastAsia"/>
          <w:snapToGrid w:val="0"/>
        </w:rPr>
        <w:t>是指被保险人感染上人类免疫缺陷病毒（</w:t>
      </w:r>
      <w:r>
        <w:rPr>
          <w:rFonts w:ascii="宋体" w:hAnsi="宋体"/>
          <w:snapToGrid w:val="0"/>
        </w:rPr>
        <w:t>HIV</w:t>
      </w:r>
      <w:r>
        <w:rPr>
          <w:rFonts w:ascii="宋体" w:hAnsi="宋体" w:hint="eastAsia"/>
          <w:snapToGrid w:val="0"/>
        </w:rPr>
        <w:t>）并且符合下列所有条件：</w:t>
      </w:r>
    </w:p>
    <w:p w14:paraId="2FF69573"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．被保险人因治疗必需而接受输血，并且因输血而感染人类免疫缺陷病毒（</w:t>
      </w:r>
      <w:r>
        <w:rPr>
          <w:rFonts w:ascii="宋体" w:hAnsi="宋体"/>
          <w:snapToGrid w:val="0"/>
        </w:rPr>
        <w:t>HIV</w:t>
      </w:r>
      <w:r>
        <w:rPr>
          <w:rFonts w:ascii="宋体" w:hAnsi="宋体" w:hint="eastAsia"/>
          <w:snapToGrid w:val="0"/>
        </w:rPr>
        <w:t>）；</w:t>
      </w:r>
    </w:p>
    <w:p w14:paraId="21D0339F"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．提供输血治疗的输血中心或医院出具该项输血感染属医疗责任事故的报告，或者法院终审裁定为医疗责任并且不准上诉；</w:t>
      </w:r>
    </w:p>
    <w:p w14:paraId="4B59223E"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．提供输血治疗的输血中心或医院必须拥有合法经营执照；</w:t>
      </w:r>
    </w:p>
    <w:p w14:paraId="3583894E" w14:textId="77777777" w:rsidR="008F265F" w:rsidRDefault="00A542E4">
      <w:pPr>
        <w:ind w:firstLine="420"/>
        <w:rPr>
          <w:rFonts w:ascii="宋体" w:hAnsi="宋体"/>
          <w:snapToGrid w:val="0"/>
        </w:rPr>
      </w:pPr>
      <w:r>
        <w:rPr>
          <w:rFonts w:ascii="宋体" w:hAnsi="宋体"/>
          <w:snapToGrid w:val="0"/>
        </w:rPr>
        <w:t>4</w:t>
      </w:r>
      <w:r>
        <w:rPr>
          <w:rFonts w:ascii="宋体" w:hAnsi="宋体" w:hint="eastAsia"/>
          <w:snapToGrid w:val="0"/>
        </w:rPr>
        <w:t>．受感染的被保险人不是血友病患者。</w:t>
      </w:r>
    </w:p>
    <w:p w14:paraId="12373494" w14:textId="77777777" w:rsidR="008F265F" w:rsidRPr="00FD5F2C" w:rsidRDefault="00A542E4">
      <w:pPr>
        <w:spacing w:beforeLines="50" w:before="156"/>
        <w:ind w:firstLine="420"/>
        <w:rPr>
          <w:rFonts w:ascii="宋体" w:hAnsi="宋体"/>
          <w:snapToGrid w:val="0"/>
          <w:shd w:val="pct15" w:color="auto" w:fill="FFFFFF"/>
        </w:rPr>
      </w:pPr>
      <w:r w:rsidRPr="00FD5F2C">
        <w:rPr>
          <w:rFonts w:ascii="宋体" w:hAnsi="宋体" w:hint="eastAsia"/>
          <w:snapToGrid w:val="0"/>
          <w:shd w:val="pct15" w:color="auto" w:fill="FFFFFF"/>
        </w:rPr>
        <w:lastRenderedPageBreak/>
        <w:t>在任何治愈艾滋病或阻止人类免疫缺陷病毒（</w:t>
      </w:r>
      <w:r w:rsidRPr="00FD5F2C">
        <w:rPr>
          <w:rFonts w:ascii="宋体" w:hAnsi="宋体"/>
          <w:snapToGrid w:val="0"/>
          <w:shd w:val="pct15" w:color="auto" w:fill="FFFFFF"/>
        </w:rPr>
        <w:t>HIV</w:t>
      </w:r>
      <w:r w:rsidRPr="00FD5F2C">
        <w:rPr>
          <w:rFonts w:ascii="宋体" w:hAnsi="宋体" w:hint="eastAsia"/>
          <w:snapToGrid w:val="0"/>
          <w:shd w:val="pct15" w:color="auto" w:fill="FFFFFF"/>
        </w:rPr>
        <w:t>）病毒作用的疗法被发现以后，或能防止艾滋病发生的医疗方法被研究出来以后，本保障将不再予以赔付。</w:t>
      </w:r>
    </w:p>
    <w:p w14:paraId="6AE8D0EE" w14:textId="77777777" w:rsidR="008F265F" w:rsidRDefault="00A542E4">
      <w:pPr>
        <w:spacing w:beforeLines="50" w:before="156"/>
        <w:ind w:firstLine="420"/>
        <w:rPr>
          <w:rFonts w:ascii="宋体" w:hAnsi="宋体"/>
          <w:snapToGrid w:val="0"/>
        </w:rPr>
      </w:pPr>
      <w:r>
        <w:rPr>
          <w:rFonts w:ascii="宋体" w:hAnsi="宋体"/>
          <w:snapToGrid w:val="0"/>
        </w:rPr>
        <w:t>保险</w:t>
      </w:r>
      <w:r>
        <w:rPr>
          <w:rFonts w:ascii="宋体" w:hAnsi="宋体" w:hint="eastAsia"/>
          <w:snapToGrid w:val="0"/>
        </w:rPr>
        <w:t>公司必须拥有获得使用被保险人的所有血液样本的权利和能够对这些样本进行独立检验的权利。</w:t>
      </w:r>
    </w:p>
    <w:p w14:paraId="00A41906" w14:textId="77777777" w:rsidR="008F265F" w:rsidRDefault="00A542E4">
      <w:pPr>
        <w:spacing w:beforeLines="50" w:before="156"/>
        <w:ind w:firstLine="420"/>
        <w:rPr>
          <w:rFonts w:ascii="宋体" w:hAnsi="宋体"/>
          <w:snapToGrid w:val="0"/>
        </w:rPr>
      </w:pPr>
      <w:r>
        <w:rPr>
          <w:rFonts w:ascii="宋体" w:hAnsi="宋体" w:hint="eastAsia"/>
          <w:snapToGrid w:val="0"/>
        </w:rPr>
        <w:t>我们承担本项疾病责任不受本主险合同责任免除中“被保险人感染艾滋病病毒或患艾滋病”的限制。</w:t>
      </w:r>
    </w:p>
    <w:p w14:paraId="3260B7A6"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原发性硬化性胆管炎</w:t>
      </w:r>
    </w:p>
    <w:p w14:paraId="4372252F"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指一种胆汁淤积综合征，其特征是肝内、肝外胆道因纤维化性炎症逐渐狭窄，并最终导致完全阻塞而发展为肝硬化。本病须经内镜逆行胰胆管造影等影像学检查证实，并须满足下列全部条件：</w:t>
      </w:r>
    </w:p>
    <w:p w14:paraId="0D09652A"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．总胆红素和直接胆红素同时升高，血清</w:t>
      </w:r>
      <w:r>
        <w:rPr>
          <w:rFonts w:ascii="宋体" w:hAnsi="宋体"/>
          <w:snapToGrid w:val="0"/>
        </w:rPr>
        <w:t>ALP＞200U/L</w:t>
      </w:r>
      <w:r>
        <w:rPr>
          <w:rFonts w:ascii="宋体" w:hAnsi="宋体" w:hint="eastAsia"/>
          <w:snapToGrid w:val="0"/>
        </w:rPr>
        <w:t>；</w:t>
      </w:r>
    </w:p>
    <w:p w14:paraId="3C7AB966"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．持续性黄疸病史；</w:t>
      </w:r>
    </w:p>
    <w:p w14:paraId="4B276049"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．出现胆汁性肝硬化或门脉高压。</w:t>
      </w:r>
    </w:p>
    <w:p w14:paraId="40A5AF61" w14:textId="77777777" w:rsidR="008F265F" w:rsidRPr="00FD5F2C" w:rsidRDefault="00A542E4">
      <w:pPr>
        <w:autoSpaceDE w:val="0"/>
        <w:autoSpaceDN w:val="0"/>
        <w:adjustRightInd w:val="0"/>
        <w:spacing w:beforeLines="50" w:before="156"/>
        <w:ind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因肿瘤或胆管损伤等继发性的硬化性胆管炎不在保障范围内。</w:t>
      </w:r>
    </w:p>
    <w:p w14:paraId="2F45F46E"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特发性慢性肾上腺皮质功能减退</w:t>
      </w:r>
    </w:p>
    <w:p w14:paraId="29BEF1C9"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指自身免疫性肾上腺炎（既往称：特发性肾上腺皮质萎缩）导致肾上腺萎缩和慢性肾上腺皮质功能减退。须满足下列全部条件：</w:t>
      </w:r>
    </w:p>
    <w:p w14:paraId="1D4E6CFC"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1．明确诊断，符合所有以下诊断标准：</w:t>
      </w:r>
    </w:p>
    <w:p w14:paraId="64B7C587"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（1）血浆促肾上腺皮质激素(ACTH)水平测定大于100pg/ml；</w:t>
      </w:r>
    </w:p>
    <w:p w14:paraId="7921BEE8"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（2）血浆和尿游离皮质醇及尿17羟皮质类固醇、17酮皮质类固醇测定、</w:t>
      </w:r>
      <w:r>
        <w:rPr>
          <w:rFonts w:ascii="宋体" w:hAnsi="宋体" w:cs="Arial" w:hint="eastAsia"/>
          <w:snapToGrid w:val="0"/>
          <w:color w:val="000000"/>
        </w:rPr>
        <w:lastRenderedPageBreak/>
        <w:t>血浆肾素活性、血管紧张素II和醛固酮测定，显示为原发性肾上腺皮质功能减退症；</w:t>
      </w:r>
    </w:p>
    <w:p w14:paraId="1EA5B595"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（3）促肾上腺皮质激素(ACTH)刺激试验显示为原发性肾上腺皮质功能减退症。</w:t>
      </w:r>
    </w:p>
    <w:p w14:paraId="5633CCCD"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2．已经采用皮质类固醇替代治疗180天以上。</w:t>
      </w:r>
    </w:p>
    <w:p w14:paraId="1C44ACBE" w14:textId="77777777" w:rsidR="008F265F" w:rsidRPr="00FD5F2C" w:rsidRDefault="00A542E4">
      <w:pPr>
        <w:autoSpaceDE w:val="0"/>
        <w:autoSpaceDN w:val="0"/>
        <w:adjustRightInd w:val="0"/>
        <w:spacing w:beforeLines="50" w:before="156"/>
        <w:ind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肾上腺结核、</w:t>
      </w:r>
      <w:r w:rsidRPr="00FD5F2C">
        <w:rPr>
          <w:rFonts w:ascii="宋体" w:hAnsi="宋体" w:cs="Arial"/>
          <w:snapToGrid w:val="0"/>
          <w:color w:val="000000"/>
          <w:shd w:val="pct15" w:color="auto" w:fill="FFFFFF"/>
        </w:rPr>
        <w:t>HIV</w:t>
      </w:r>
      <w:r w:rsidRPr="00FD5F2C">
        <w:rPr>
          <w:rFonts w:ascii="宋体" w:hAnsi="宋体" w:cs="Arial" w:hint="eastAsia"/>
          <w:snapToGrid w:val="0"/>
          <w:color w:val="000000"/>
          <w:shd w:val="pct15" w:color="auto" w:fill="FFFFFF"/>
        </w:rPr>
        <w:t>感染或艾滋病感染、肿瘤所致的原发性肾上腺皮质功能减退和继发性肾上腺皮质功能减退不在保障范围内。</w:t>
      </w:r>
    </w:p>
    <w:p w14:paraId="11A3A774"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 xml:space="preserve">系统性红斑狼疮 </w:t>
      </w:r>
      <w:r>
        <w:rPr>
          <w:rFonts w:ascii="宋体" w:hAnsi="宋体" w:cs="Arial" w:hint="eastAsia"/>
          <w:bCs/>
          <w:snapToGrid w:val="0"/>
          <w:color w:val="000000"/>
        </w:rPr>
        <w:t>－</w:t>
      </w:r>
      <w:r>
        <w:rPr>
          <w:rFonts w:ascii="宋体" w:hAnsi="宋体" w:cs="Arial" w:hint="eastAsia"/>
          <w:snapToGrid w:val="0"/>
          <w:color w:val="000000"/>
        </w:rPr>
        <w:t>（并发）</w:t>
      </w:r>
      <w:r>
        <w:rPr>
          <w:rFonts w:ascii="宋体" w:hAnsi="宋体" w:hint="eastAsia"/>
          <w:snapToGrid w:val="0"/>
          <w:color w:val="000000"/>
        </w:rPr>
        <w:t>Ⅲ</w:t>
      </w:r>
      <w:r>
        <w:rPr>
          <w:rFonts w:ascii="宋体" w:hAnsi="宋体" w:cs="Arial" w:hint="eastAsia"/>
          <w:snapToGrid w:val="0"/>
          <w:color w:val="000000"/>
        </w:rPr>
        <w:t>型或以上狼疮性肾炎</w:t>
      </w:r>
    </w:p>
    <w:p w14:paraId="4E5BC9FB"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系统性红斑狼疮是由多种因素引起，累及多系统的自身免疫性疾病。其特点是生成自身抗体对抗多种自身抗原。多见于育龄妇女。</w:t>
      </w:r>
    </w:p>
    <w:p w14:paraId="32608EE8" w14:textId="77777777" w:rsidR="008F265F" w:rsidRPr="00FD5F2C" w:rsidRDefault="00A542E4">
      <w:pPr>
        <w:autoSpaceDE w:val="0"/>
        <w:autoSpaceDN w:val="0"/>
        <w:adjustRightInd w:val="0"/>
        <w:spacing w:beforeLines="50" w:before="156"/>
        <w:ind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本主险合同所指的系统性红斑狼疮仅限于累及肾脏（经肾脏活检确认的，符合</w:t>
      </w:r>
      <w:r w:rsidRPr="00FD5F2C">
        <w:rPr>
          <w:rFonts w:ascii="宋体" w:hAnsi="宋体" w:cs="Arial"/>
          <w:snapToGrid w:val="0"/>
          <w:color w:val="000000"/>
          <w:shd w:val="pct15" w:color="auto" w:fill="FFFFFF"/>
        </w:rPr>
        <w:t>WHO</w:t>
      </w:r>
      <w:r w:rsidRPr="00FD5F2C">
        <w:rPr>
          <w:rFonts w:ascii="宋体" w:hAnsi="宋体" w:cs="Arial" w:hint="eastAsia"/>
          <w:snapToGrid w:val="0"/>
          <w:color w:val="000000"/>
          <w:shd w:val="pct15" w:color="auto" w:fill="FFFFFF"/>
        </w:rPr>
        <w:t>诊断标准定义</w:t>
      </w:r>
      <w:r w:rsidRPr="00FD5F2C">
        <w:rPr>
          <w:rFonts w:ascii="宋体" w:hAnsi="宋体" w:hint="eastAsia"/>
          <w:snapToGrid w:val="0"/>
          <w:color w:val="000000"/>
          <w:shd w:val="pct15" w:color="auto" w:fill="FFFFFF"/>
        </w:rPr>
        <w:t>Ⅲ</w:t>
      </w:r>
      <w:r w:rsidRPr="00FD5F2C">
        <w:rPr>
          <w:rFonts w:ascii="宋体" w:hAnsi="宋体" w:cs="Arial" w:hint="eastAsia"/>
          <w:snapToGrid w:val="0"/>
          <w:color w:val="000000"/>
          <w:shd w:val="pct15" w:color="auto" w:fill="FFFFFF"/>
        </w:rPr>
        <w:t>型至Ⅴ型狼疮性肾炎）的系统性红斑狼疮。其他类型的红斑性狼疮，如盘状狼疮、仅累及血液及关节的狼疮不在保障范围内。</w:t>
      </w:r>
    </w:p>
    <w:p w14:paraId="3D572343"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本病必须由免疫和风湿科专家医师确诊。</w:t>
      </w:r>
    </w:p>
    <w:p w14:paraId="52F09808"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世界卫生组织（</w:t>
      </w:r>
      <w:r>
        <w:rPr>
          <w:rFonts w:ascii="宋体" w:hAnsi="宋体" w:cs="Arial"/>
          <w:snapToGrid w:val="0"/>
          <w:color w:val="000000"/>
        </w:rPr>
        <w:t>WHO</w:t>
      </w:r>
      <w:r>
        <w:rPr>
          <w:rFonts w:ascii="宋体" w:hAnsi="宋体" w:cs="Arial" w:hint="eastAsia"/>
          <w:snapToGrid w:val="0"/>
          <w:color w:val="000000"/>
        </w:rPr>
        <w:t>）狼疮性肾炎分型：</w:t>
      </w:r>
    </w:p>
    <w:tbl>
      <w:tblPr>
        <w:tblStyle w:val="ae"/>
        <w:tblW w:w="9288" w:type="dxa"/>
        <w:tblLayout w:type="fixed"/>
        <w:tblLook w:val="04A0" w:firstRow="1" w:lastRow="0" w:firstColumn="1" w:lastColumn="0" w:noHBand="0" w:noVBand="1"/>
      </w:tblPr>
      <w:tblGrid>
        <w:gridCol w:w="3709"/>
        <w:gridCol w:w="5579"/>
      </w:tblGrid>
      <w:tr w:rsidR="008F265F" w14:paraId="72810B0E" w14:textId="77777777">
        <w:trPr>
          <w:trHeight w:val="308"/>
        </w:trPr>
        <w:tc>
          <w:tcPr>
            <w:tcW w:w="3709" w:type="dxa"/>
          </w:tcPr>
          <w:p w14:paraId="73054AD0" w14:textId="77777777" w:rsidR="008F265F" w:rsidRDefault="00A542E4">
            <w:pPr>
              <w:pStyle w:val="a6"/>
              <w:jc w:val="left"/>
              <w:rPr>
                <w:rFonts w:hAnsi="宋体"/>
                <w:szCs w:val="21"/>
              </w:rPr>
            </w:pPr>
            <w:r>
              <w:rPr>
                <w:rFonts w:hAnsi="宋体" w:hint="eastAsia"/>
                <w:snapToGrid w:val="0"/>
                <w:color w:val="000000"/>
                <w:szCs w:val="24"/>
              </w:rPr>
              <w:t>Ⅰ</w:t>
            </w:r>
            <w:r>
              <w:rPr>
                <w:rFonts w:hAnsi="宋体" w:hint="eastAsia"/>
                <w:szCs w:val="21"/>
              </w:rPr>
              <w:t>型（微小病变型）</w:t>
            </w:r>
          </w:p>
        </w:tc>
        <w:tc>
          <w:tcPr>
            <w:tcW w:w="5579" w:type="dxa"/>
          </w:tcPr>
          <w:p w14:paraId="2D13FA96" w14:textId="77777777" w:rsidR="008F265F" w:rsidRDefault="00A542E4">
            <w:pPr>
              <w:pStyle w:val="a6"/>
              <w:jc w:val="left"/>
              <w:rPr>
                <w:rFonts w:hAnsi="宋体"/>
                <w:szCs w:val="21"/>
              </w:rPr>
            </w:pPr>
            <w:r>
              <w:rPr>
                <w:rFonts w:hAnsi="宋体" w:hint="eastAsia"/>
                <w:szCs w:val="21"/>
              </w:rPr>
              <w:t>镜下阴性，尿液正常</w:t>
            </w:r>
          </w:p>
        </w:tc>
      </w:tr>
      <w:tr w:rsidR="008F265F" w14:paraId="5C381931" w14:textId="77777777">
        <w:trPr>
          <w:trHeight w:val="324"/>
        </w:trPr>
        <w:tc>
          <w:tcPr>
            <w:tcW w:w="3709" w:type="dxa"/>
          </w:tcPr>
          <w:p w14:paraId="5B920BA0" w14:textId="77777777" w:rsidR="008F265F" w:rsidRDefault="00A542E4">
            <w:pPr>
              <w:pStyle w:val="a6"/>
              <w:jc w:val="left"/>
              <w:rPr>
                <w:rFonts w:hAnsi="宋体"/>
                <w:szCs w:val="21"/>
              </w:rPr>
            </w:pPr>
            <w:r>
              <w:rPr>
                <w:rFonts w:hAnsi="宋体" w:hint="eastAsia"/>
                <w:snapToGrid w:val="0"/>
                <w:color w:val="000000"/>
                <w:szCs w:val="24"/>
              </w:rPr>
              <w:t>Ⅱ</w:t>
            </w:r>
            <w:r>
              <w:rPr>
                <w:rFonts w:hAnsi="宋体" w:hint="eastAsia"/>
                <w:szCs w:val="21"/>
              </w:rPr>
              <w:t>型（系膜病变型）</w:t>
            </w:r>
          </w:p>
        </w:tc>
        <w:tc>
          <w:tcPr>
            <w:tcW w:w="5579" w:type="dxa"/>
          </w:tcPr>
          <w:p w14:paraId="0CD4D690" w14:textId="77777777" w:rsidR="008F265F" w:rsidRDefault="00A542E4">
            <w:pPr>
              <w:pStyle w:val="a6"/>
              <w:jc w:val="left"/>
              <w:rPr>
                <w:rFonts w:hAnsi="宋体"/>
                <w:szCs w:val="21"/>
              </w:rPr>
            </w:pPr>
            <w:r>
              <w:rPr>
                <w:rFonts w:hAnsi="宋体" w:hint="eastAsia"/>
                <w:szCs w:val="21"/>
              </w:rPr>
              <w:t>中度蛋白尿，偶有尿沉渣改变</w:t>
            </w:r>
          </w:p>
        </w:tc>
      </w:tr>
      <w:tr w:rsidR="008F265F" w14:paraId="7B7E4D0F" w14:textId="77777777">
        <w:trPr>
          <w:trHeight w:val="308"/>
        </w:trPr>
        <w:tc>
          <w:tcPr>
            <w:tcW w:w="3709" w:type="dxa"/>
          </w:tcPr>
          <w:p w14:paraId="6F2B668F" w14:textId="77777777" w:rsidR="008F265F" w:rsidRDefault="00A542E4">
            <w:pPr>
              <w:pStyle w:val="a6"/>
              <w:jc w:val="left"/>
              <w:rPr>
                <w:rFonts w:hAnsi="宋体"/>
                <w:szCs w:val="21"/>
              </w:rPr>
            </w:pPr>
            <w:r>
              <w:rPr>
                <w:rFonts w:hAnsi="宋体" w:hint="eastAsia"/>
              </w:rPr>
              <w:t>Ⅲ</w:t>
            </w:r>
            <w:r>
              <w:rPr>
                <w:rFonts w:hAnsi="宋体" w:hint="eastAsia"/>
                <w:szCs w:val="21"/>
              </w:rPr>
              <w:t>型（局灶及节段增生型）</w:t>
            </w:r>
          </w:p>
        </w:tc>
        <w:tc>
          <w:tcPr>
            <w:tcW w:w="5579" w:type="dxa"/>
          </w:tcPr>
          <w:p w14:paraId="6F0A5C28" w14:textId="77777777" w:rsidR="008F265F" w:rsidRDefault="00A542E4">
            <w:pPr>
              <w:pStyle w:val="a6"/>
              <w:jc w:val="left"/>
              <w:rPr>
                <w:rFonts w:hAnsi="宋体"/>
                <w:szCs w:val="21"/>
              </w:rPr>
            </w:pPr>
            <w:r>
              <w:rPr>
                <w:rFonts w:hAnsi="宋体" w:hint="eastAsia"/>
                <w:szCs w:val="21"/>
              </w:rPr>
              <w:t>蛋白尿，尿沉渣改变</w:t>
            </w:r>
          </w:p>
        </w:tc>
      </w:tr>
      <w:tr w:rsidR="008F265F" w14:paraId="20396ABD" w14:textId="77777777">
        <w:trPr>
          <w:trHeight w:val="324"/>
        </w:trPr>
        <w:tc>
          <w:tcPr>
            <w:tcW w:w="3709" w:type="dxa"/>
          </w:tcPr>
          <w:p w14:paraId="375F3342" w14:textId="77777777" w:rsidR="008F265F" w:rsidRDefault="00A542E4">
            <w:pPr>
              <w:pStyle w:val="a6"/>
              <w:jc w:val="left"/>
              <w:rPr>
                <w:rFonts w:hAnsi="宋体"/>
                <w:szCs w:val="21"/>
              </w:rPr>
            </w:pPr>
            <w:r>
              <w:rPr>
                <w:rFonts w:hAnsi="宋体" w:hint="eastAsia"/>
                <w:szCs w:val="21"/>
              </w:rPr>
              <w:t>Ⅳ型（弥漫增生型）</w:t>
            </w:r>
          </w:p>
        </w:tc>
        <w:tc>
          <w:tcPr>
            <w:tcW w:w="5579" w:type="dxa"/>
          </w:tcPr>
          <w:p w14:paraId="5A3E39BA" w14:textId="77777777" w:rsidR="008F265F" w:rsidRDefault="00A542E4">
            <w:pPr>
              <w:pStyle w:val="a6"/>
              <w:jc w:val="left"/>
              <w:rPr>
                <w:rFonts w:hAnsi="宋体"/>
                <w:szCs w:val="21"/>
              </w:rPr>
            </w:pPr>
            <w:r>
              <w:rPr>
                <w:rFonts w:hAnsi="宋体" w:hint="eastAsia"/>
                <w:szCs w:val="21"/>
              </w:rPr>
              <w:t>急性肾炎伴有尿沉渣改变及</w:t>
            </w:r>
            <w:r>
              <w:rPr>
                <w:rFonts w:hAnsi="宋体"/>
                <w:szCs w:val="21"/>
              </w:rPr>
              <w:t>/</w:t>
            </w:r>
            <w:r>
              <w:rPr>
                <w:rFonts w:hAnsi="宋体" w:hint="eastAsia"/>
                <w:szCs w:val="21"/>
              </w:rPr>
              <w:t>或肾病综合征</w:t>
            </w:r>
          </w:p>
        </w:tc>
      </w:tr>
      <w:tr w:rsidR="008F265F" w14:paraId="207E11B8" w14:textId="77777777">
        <w:trPr>
          <w:trHeight w:val="324"/>
        </w:trPr>
        <w:tc>
          <w:tcPr>
            <w:tcW w:w="3709" w:type="dxa"/>
          </w:tcPr>
          <w:p w14:paraId="55C0AA27" w14:textId="77777777" w:rsidR="008F265F" w:rsidRDefault="00A542E4">
            <w:pPr>
              <w:pStyle w:val="a6"/>
              <w:jc w:val="left"/>
              <w:rPr>
                <w:rFonts w:hAnsi="宋体"/>
                <w:szCs w:val="21"/>
              </w:rPr>
            </w:pPr>
            <w:r>
              <w:rPr>
                <w:rFonts w:hAnsi="宋体" w:hint="eastAsia"/>
                <w:szCs w:val="21"/>
              </w:rPr>
              <w:t>Ⅴ型（膜型）</w:t>
            </w:r>
          </w:p>
        </w:tc>
        <w:tc>
          <w:tcPr>
            <w:tcW w:w="5579" w:type="dxa"/>
          </w:tcPr>
          <w:p w14:paraId="5B4C7DAC" w14:textId="77777777" w:rsidR="008F265F" w:rsidRDefault="00A542E4">
            <w:pPr>
              <w:pStyle w:val="a6"/>
              <w:jc w:val="left"/>
              <w:rPr>
                <w:rFonts w:hAnsi="宋体"/>
                <w:szCs w:val="21"/>
              </w:rPr>
            </w:pPr>
            <w:r>
              <w:rPr>
                <w:rFonts w:hAnsi="宋体" w:hint="eastAsia"/>
                <w:szCs w:val="21"/>
              </w:rPr>
              <w:t>肾病综合征或重度蛋白尿</w:t>
            </w:r>
          </w:p>
        </w:tc>
      </w:tr>
    </w:tbl>
    <w:p w14:paraId="1F7A7858"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严重类风湿性关节炎</w:t>
      </w:r>
    </w:p>
    <w:p w14:paraId="386779CC"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指广泛分布的慢性进行性多关节病变，表现为关节严重变形，侵犯至少</w:t>
      </w:r>
      <w:r>
        <w:rPr>
          <w:rFonts w:ascii="宋体" w:hAnsi="宋体" w:cs="Arial" w:hint="eastAsia"/>
          <w:snapToGrid w:val="0"/>
          <w:color w:val="000000"/>
        </w:rPr>
        <w:lastRenderedPageBreak/>
        <w:t>三个主要关节（腕关节、肘关节、肩关节、踝关节、膝关节、髋关节）或关节组（如手的多个指间、掌指关节，足的多个足趾、跖趾关节等）。被保险人所患的类风湿性关节炎必须经风湿免疫科专科医生明确诊断并且已经导致自主生活能力完全丧失，无法独立完成六项基本日常生活活动中的三项或三项以上。</w:t>
      </w:r>
    </w:p>
    <w:p w14:paraId="74B858EE"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重症急性坏死性筋膜炎</w:t>
      </w:r>
    </w:p>
    <w:p w14:paraId="5F3889C9"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坏死性筋膜炎的诊断须同时符合下列要求：</w:t>
      </w:r>
    </w:p>
    <w:p w14:paraId="170AD072"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．符合坏死性筋膜炎的一般临床表现；</w:t>
      </w:r>
    </w:p>
    <w:p w14:paraId="14EB5286"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．细菌培养检出致病菌；</w:t>
      </w:r>
    </w:p>
    <w:p w14:paraId="22C99F7F"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．出现广泛性肌肉及软组织坏死，并导致身体受影响部位永久完全失去功能。</w:t>
      </w:r>
    </w:p>
    <w:p w14:paraId="2BF8832F"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所谓永久完全失去功能是指受影响部位的全部功能完全丧失超过</w:t>
      </w:r>
      <w:r>
        <w:rPr>
          <w:rFonts w:ascii="宋体" w:hAnsi="宋体" w:cs="Arial"/>
          <w:snapToGrid w:val="0"/>
          <w:color w:val="000000"/>
        </w:rPr>
        <w:t>180</w:t>
      </w:r>
      <w:r>
        <w:rPr>
          <w:rFonts w:ascii="宋体" w:hAnsi="宋体" w:cs="Arial" w:hint="eastAsia"/>
          <w:snapToGrid w:val="0"/>
          <w:color w:val="000000"/>
        </w:rPr>
        <w:t>天者。</w:t>
      </w:r>
    </w:p>
    <w:p w14:paraId="77CD76D1"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急性坏死性胰腺炎开腹手术</w:t>
      </w:r>
    </w:p>
    <w:p w14:paraId="20541A7A"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指由相关专科医生确诊为急性出血坏死性胰腺炎，并实际实施了开腹手术治疗，以进行坏死组织清除、坏死病灶切除或胰腺切除。</w:t>
      </w:r>
    </w:p>
    <w:p w14:paraId="5588792F"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因酒精所致的胰腺炎不在保障范围内。腹腔镜手术治疗不在保障范围内。</w:t>
      </w:r>
    </w:p>
    <w:p w14:paraId="6F9DE91F"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系统性硬皮病</w:t>
      </w:r>
    </w:p>
    <w:p w14:paraId="18053D6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指一种全身性的胶原血管性疾病，可以导致皮肤、血管及内脏器官进行性弥漫性纤维化。诊断必须经活检及血清学检查证实，疾病必须是全身性，</w:t>
      </w:r>
      <w:r>
        <w:rPr>
          <w:rFonts w:ascii="宋体" w:hAnsi="宋体" w:cs="Arial" w:hint="eastAsia"/>
          <w:snapToGrid w:val="0"/>
          <w:color w:val="000000"/>
        </w:rPr>
        <w:lastRenderedPageBreak/>
        <w:t>且须满足下列至少一项条件：</w:t>
      </w:r>
    </w:p>
    <w:p w14:paraId="1C125F7C"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．肺脏：肺部病变进而发展为肺间质纤维化和肺动脉高压；</w:t>
      </w:r>
    </w:p>
    <w:p w14:paraId="07E5C635"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．心脏：心功能受损达到美国纽约心脏病学会（New York Heart Association，NYHA）心功能状态分级</w:t>
      </w:r>
      <w:r>
        <w:rPr>
          <w:rFonts w:ascii="宋体" w:hAnsi="宋体" w:hint="eastAsia"/>
        </w:rPr>
        <w:t>Ⅳ</w:t>
      </w:r>
      <w:r>
        <w:rPr>
          <w:rFonts w:ascii="宋体" w:hAnsi="宋体" w:hint="eastAsia"/>
          <w:snapToGrid w:val="0"/>
        </w:rPr>
        <w:t>级；</w:t>
      </w:r>
    </w:p>
    <w:p w14:paraId="14F18E89"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．肾脏：肾脏受损导致双肾功能慢性不可逆衰竭，达到尿毒症期。</w:t>
      </w:r>
    </w:p>
    <w:p w14:paraId="11F5E8DA"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以下情况不在保障范围内：</w:t>
      </w:r>
    </w:p>
    <w:p w14:paraId="21F2A6D3" w14:textId="77777777" w:rsidR="008F265F" w:rsidRPr="00FD5F2C" w:rsidRDefault="00A542E4">
      <w:pPr>
        <w:ind w:firstLine="420"/>
        <w:rPr>
          <w:rFonts w:ascii="宋体" w:hAnsi="宋体" w:cs="Arial"/>
          <w:snapToGrid w:val="0"/>
          <w:color w:val="000000"/>
          <w:shd w:val="pct15" w:color="auto" w:fill="FFFFFF"/>
        </w:rPr>
      </w:pPr>
      <w:r w:rsidRPr="00FD5F2C">
        <w:rPr>
          <w:rFonts w:ascii="宋体" w:hAnsi="宋体" w:cs="Arial"/>
          <w:snapToGrid w:val="0"/>
          <w:color w:val="000000"/>
          <w:shd w:val="pct15" w:color="auto" w:fill="FFFFFF"/>
        </w:rPr>
        <w:t>1</w:t>
      </w:r>
      <w:r w:rsidRPr="00FD5F2C">
        <w:rPr>
          <w:rFonts w:ascii="宋体" w:hAnsi="宋体" w:cs="Arial" w:hint="eastAsia"/>
          <w:snapToGrid w:val="0"/>
          <w:color w:val="000000"/>
          <w:shd w:val="pct15" w:color="auto" w:fill="FFFFFF"/>
        </w:rPr>
        <w:t>．局限性硬皮病（带状硬皮病或斑状损害）；</w:t>
      </w:r>
    </w:p>
    <w:p w14:paraId="74F6A5E5" w14:textId="77777777" w:rsidR="008F265F" w:rsidRPr="00FD5F2C" w:rsidRDefault="00A542E4">
      <w:pPr>
        <w:ind w:firstLine="420"/>
        <w:rPr>
          <w:rFonts w:ascii="宋体" w:hAnsi="宋体" w:cs="Arial"/>
          <w:snapToGrid w:val="0"/>
          <w:color w:val="000000"/>
          <w:shd w:val="pct15" w:color="auto" w:fill="FFFFFF"/>
        </w:rPr>
      </w:pPr>
      <w:r w:rsidRPr="00FD5F2C">
        <w:rPr>
          <w:rFonts w:ascii="宋体" w:hAnsi="宋体" w:cs="Arial"/>
          <w:snapToGrid w:val="0"/>
          <w:color w:val="000000"/>
          <w:shd w:val="pct15" w:color="auto" w:fill="FFFFFF"/>
        </w:rPr>
        <w:t>2</w:t>
      </w:r>
      <w:r w:rsidRPr="00FD5F2C">
        <w:rPr>
          <w:rFonts w:ascii="宋体" w:hAnsi="宋体" w:cs="Arial" w:hint="eastAsia"/>
          <w:snapToGrid w:val="0"/>
          <w:color w:val="000000"/>
          <w:shd w:val="pct15" w:color="auto" w:fill="FFFFFF"/>
        </w:rPr>
        <w:t>．嗜酸性筋膜炎；</w:t>
      </w:r>
    </w:p>
    <w:p w14:paraId="354739B4" w14:textId="77777777" w:rsidR="008F265F" w:rsidRPr="00FD5F2C" w:rsidRDefault="00A542E4">
      <w:pPr>
        <w:ind w:firstLine="420"/>
        <w:rPr>
          <w:rFonts w:ascii="宋体" w:hAnsi="宋体" w:cs="Arial"/>
          <w:snapToGrid w:val="0"/>
          <w:color w:val="000000"/>
          <w:shd w:val="pct15" w:color="auto" w:fill="FFFFFF"/>
        </w:rPr>
      </w:pPr>
      <w:r w:rsidRPr="00FD5F2C">
        <w:rPr>
          <w:rFonts w:ascii="宋体" w:hAnsi="宋体" w:cs="Arial"/>
          <w:snapToGrid w:val="0"/>
          <w:color w:val="000000"/>
          <w:shd w:val="pct15" w:color="auto" w:fill="FFFFFF"/>
        </w:rPr>
        <w:t>3</w:t>
      </w:r>
      <w:r w:rsidRPr="00FD5F2C">
        <w:rPr>
          <w:rFonts w:ascii="宋体" w:hAnsi="宋体" w:cs="Arial" w:hint="eastAsia"/>
          <w:snapToGrid w:val="0"/>
          <w:color w:val="000000"/>
          <w:shd w:val="pct15" w:color="auto" w:fill="FFFFFF"/>
        </w:rPr>
        <w:t>．</w:t>
      </w:r>
      <w:r w:rsidRPr="00FD5F2C">
        <w:rPr>
          <w:rFonts w:ascii="宋体" w:hAnsi="宋体" w:cs="Arial"/>
          <w:snapToGrid w:val="0"/>
          <w:color w:val="000000"/>
          <w:shd w:val="pct15" w:color="auto" w:fill="FFFFFF"/>
        </w:rPr>
        <w:t>CREST</w:t>
      </w:r>
      <w:r w:rsidRPr="00FD5F2C">
        <w:rPr>
          <w:rFonts w:ascii="宋体" w:hAnsi="宋体" w:cs="Arial" w:hint="eastAsia"/>
          <w:snapToGrid w:val="0"/>
          <w:color w:val="000000"/>
          <w:shd w:val="pct15" w:color="auto" w:fill="FFFFFF"/>
        </w:rPr>
        <w:t>综合征。</w:t>
      </w:r>
    </w:p>
    <w:p w14:paraId="087D7D72"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慢性复发性胰腺炎</w:t>
      </w:r>
    </w:p>
    <w:p w14:paraId="514223BA"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胰腺炎反复发作超过三次以上并导致胰腺功能紊乱和营养不良，需要接受酶替代治疗。诊断必须有消化科专科医生确认并且有内窥镜逆行胰胆管造影所证实。</w:t>
      </w:r>
    </w:p>
    <w:p w14:paraId="716181F1"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因酒精所致的慢性复发性胰腺炎除外。</w:t>
      </w:r>
    </w:p>
    <w:p w14:paraId="44C2DF8E"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严重肌营养不良症</w:t>
      </w:r>
    </w:p>
    <w:p w14:paraId="03071EBC"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指一组原发于肌肉的遗传性疾病，临床表现为与神经系统无关的肌肉无力和肌肉萎缩。须满足下列全部条件：</w:t>
      </w:r>
    </w:p>
    <w:p w14:paraId="4332C519" w14:textId="77777777" w:rsidR="008F265F" w:rsidRDefault="00A542E4">
      <w:pPr>
        <w:ind w:firstLine="420"/>
        <w:rPr>
          <w:rFonts w:ascii="宋体" w:hAnsi="宋体"/>
          <w:snapToGrid w:val="0"/>
        </w:rPr>
      </w:pPr>
      <w:r>
        <w:rPr>
          <w:rFonts w:ascii="宋体" w:hAnsi="宋体" w:hint="eastAsia"/>
          <w:snapToGrid w:val="0"/>
        </w:rPr>
        <w:t>1．肌肉组织活检结果证实存在肌肉细胞变性、坏死等肌营养不良症典型改变；</w:t>
      </w:r>
    </w:p>
    <w:p w14:paraId="0DC02FC5" w14:textId="77777777" w:rsidR="008F265F" w:rsidRDefault="00A542E4">
      <w:pPr>
        <w:autoSpaceDE w:val="0"/>
        <w:autoSpaceDN w:val="0"/>
        <w:adjustRightInd w:val="0"/>
        <w:ind w:firstLineChars="200" w:firstLine="420"/>
        <w:rPr>
          <w:rFonts w:ascii="宋体" w:hAnsi="宋体"/>
          <w:snapToGrid w:val="0"/>
        </w:rPr>
      </w:pPr>
      <w:r>
        <w:rPr>
          <w:rFonts w:ascii="宋体" w:hAnsi="宋体" w:hint="eastAsia"/>
          <w:snapToGrid w:val="0"/>
        </w:rPr>
        <w:t>2．自主生活能力完全丧失，无法独立完成六项基本日常生活活动中的三项或三项以上。</w:t>
      </w:r>
    </w:p>
    <w:p w14:paraId="20F56153"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lastRenderedPageBreak/>
        <w:t>我们承担本项疾病责任不受本主险合同责任免除中“遗传性疾病，先天性畸形、变形或染色体异常”的限制。</w:t>
      </w:r>
    </w:p>
    <w:p w14:paraId="00A36EF2"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溶血性链球菌引起的坏疽</w:t>
      </w:r>
    </w:p>
    <w:p w14:paraId="18E3D976"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包围肢体或躯干的浅筋膜和</w:t>
      </w:r>
      <w:r>
        <w:rPr>
          <w:rFonts w:ascii="宋体" w:hAnsi="宋体" w:cs="Arial"/>
          <w:snapToGrid w:val="0"/>
          <w:color w:val="000000"/>
        </w:rPr>
        <w:t>/</w:t>
      </w:r>
      <w:r>
        <w:rPr>
          <w:rFonts w:ascii="宋体" w:hAnsi="宋体" w:cs="Arial" w:hint="eastAsia"/>
          <w:snapToGrid w:val="0"/>
          <w:color w:val="000000"/>
        </w:rPr>
        <w:t>或深筋膜受到溶血性链球菌的感染，病情在短时间内急剧恶化，已经立刻进行了手术及清创术。最后的诊断必须由微生物或病理学专家进行相关检查后证实。</w:t>
      </w:r>
    </w:p>
    <w:p w14:paraId="781A4966"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因职业关系导致的</w:t>
      </w:r>
      <w:r>
        <w:rPr>
          <w:rFonts w:ascii="宋体" w:hAnsi="宋体" w:cs="Arial"/>
          <w:snapToGrid w:val="0"/>
          <w:color w:val="000000"/>
        </w:rPr>
        <w:t>HIV</w:t>
      </w:r>
      <w:r>
        <w:rPr>
          <w:rFonts w:ascii="宋体" w:hAnsi="宋体" w:cs="Arial" w:hint="eastAsia"/>
          <w:snapToGrid w:val="0"/>
          <w:color w:val="000000"/>
        </w:rPr>
        <w:t>感染</w:t>
      </w:r>
    </w:p>
    <w:p w14:paraId="237EC8FA"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被保险人在其常规职业工作过程中遭遇外伤，或职业需要处理血液或其他体液时感染上人类免疫缺陷病毒（</w:t>
      </w:r>
      <w:r>
        <w:rPr>
          <w:rFonts w:ascii="宋体" w:hAnsi="宋体" w:cs="Arial"/>
          <w:snapToGrid w:val="0"/>
          <w:color w:val="000000"/>
        </w:rPr>
        <w:t>HIV</w:t>
      </w:r>
      <w:r>
        <w:rPr>
          <w:rFonts w:ascii="宋体" w:hAnsi="宋体" w:cs="Arial" w:hint="eastAsia"/>
          <w:snapToGrid w:val="0"/>
          <w:color w:val="000000"/>
        </w:rPr>
        <w:t>）。必须满足下列全部条件：</w:t>
      </w:r>
    </w:p>
    <w:p w14:paraId="51F0E4E1"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．感染必须是在被保险人正在从事其职业工作中发生，该职业必须属于下列限定职业范围内的职业；</w:t>
      </w:r>
    </w:p>
    <w:p w14:paraId="21895F36"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．血清转化必须出现在事故发生后的</w:t>
      </w:r>
      <w:r>
        <w:rPr>
          <w:rFonts w:ascii="宋体" w:hAnsi="宋体"/>
          <w:snapToGrid w:val="0"/>
        </w:rPr>
        <w:t>6</w:t>
      </w:r>
      <w:r>
        <w:rPr>
          <w:rFonts w:ascii="宋体" w:hAnsi="宋体" w:hint="eastAsia"/>
          <w:snapToGrid w:val="0"/>
        </w:rPr>
        <w:t>个月以内；</w:t>
      </w:r>
    </w:p>
    <w:p w14:paraId="2E165B6E"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．必须提供被保险人在所报事故后发生的</w:t>
      </w:r>
      <w:r>
        <w:rPr>
          <w:rFonts w:ascii="宋体" w:hAnsi="宋体"/>
          <w:snapToGrid w:val="0"/>
        </w:rPr>
        <w:t>5</w:t>
      </w:r>
      <w:r>
        <w:rPr>
          <w:rFonts w:ascii="宋体" w:hAnsi="宋体" w:hint="eastAsia"/>
          <w:snapToGrid w:val="0"/>
        </w:rPr>
        <w:t>天以内进行的检查报告，该报告必须显示被保险人血液人类免疫缺陷病毒（</w:t>
      </w:r>
      <w:r>
        <w:rPr>
          <w:rFonts w:ascii="宋体" w:hAnsi="宋体"/>
          <w:snapToGrid w:val="0"/>
        </w:rPr>
        <w:t>HIV</w:t>
      </w:r>
      <w:r>
        <w:rPr>
          <w:rFonts w:ascii="宋体" w:hAnsi="宋体" w:hint="eastAsia"/>
          <w:snapToGrid w:val="0"/>
        </w:rPr>
        <w:t>）阴性和</w:t>
      </w:r>
      <w:r>
        <w:rPr>
          <w:rFonts w:ascii="宋体" w:hAnsi="宋体"/>
          <w:snapToGrid w:val="0"/>
        </w:rPr>
        <w:t>/</w:t>
      </w:r>
      <w:r>
        <w:rPr>
          <w:rFonts w:ascii="宋体" w:hAnsi="宋体" w:hint="eastAsia"/>
          <w:snapToGrid w:val="0"/>
        </w:rPr>
        <w:t>或人类免疫缺陷病毒（</w:t>
      </w:r>
      <w:r>
        <w:rPr>
          <w:rFonts w:ascii="宋体" w:hAnsi="宋体"/>
          <w:snapToGrid w:val="0"/>
        </w:rPr>
        <w:t>HIV</w:t>
      </w:r>
      <w:r>
        <w:rPr>
          <w:rFonts w:ascii="宋体" w:hAnsi="宋体" w:hint="eastAsia"/>
          <w:snapToGrid w:val="0"/>
        </w:rPr>
        <w:t>）抗体阴性；</w:t>
      </w:r>
    </w:p>
    <w:p w14:paraId="2ABE695F" w14:textId="77777777" w:rsidR="008F265F" w:rsidRDefault="00A542E4">
      <w:pPr>
        <w:ind w:firstLine="420"/>
        <w:rPr>
          <w:rFonts w:ascii="宋体" w:hAnsi="宋体"/>
          <w:snapToGrid w:val="0"/>
        </w:rPr>
      </w:pPr>
      <w:r>
        <w:rPr>
          <w:rFonts w:ascii="宋体" w:hAnsi="宋体"/>
          <w:snapToGrid w:val="0"/>
        </w:rPr>
        <w:t>4</w:t>
      </w:r>
      <w:r>
        <w:rPr>
          <w:rFonts w:ascii="宋体" w:hAnsi="宋体" w:hint="eastAsia"/>
          <w:snapToGrid w:val="0"/>
        </w:rPr>
        <w:t>．必须在事故发生后的</w:t>
      </w:r>
      <w:r>
        <w:rPr>
          <w:rFonts w:ascii="宋体" w:hAnsi="宋体"/>
          <w:snapToGrid w:val="0"/>
        </w:rPr>
        <w:t>12</w:t>
      </w:r>
      <w:r>
        <w:rPr>
          <w:rFonts w:ascii="宋体" w:hAnsi="宋体" w:hint="eastAsia"/>
          <w:snapToGrid w:val="0"/>
        </w:rPr>
        <w:t>个月内证实被保险人体内存在人类免疫缺陷病毒（</w:t>
      </w:r>
      <w:r>
        <w:rPr>
          <w:rFonts w:ascii="宋体" w:hAnsi="宋体"/>
          <w:snapToGrid w:val="0"/>
        </w:rPr>
        <w:t>HIV</w:t>
      </w:r>
      <w:r>
        <w:rPr>
          <w:rFonts w:ascii="宋体" w:hAnsi="宋体" w:hint="eastAsia"/>
          <w:snapToGrid w:val="0"/>
        </w:rPr>
        <w:t>）或人类免疫缺陷病毒（</w:t>
      </w:r>
      <w:r>
        <w:rPr>
          <w:rFonts w:ascii="宋体" w:hAnsi="宋体"/>
          <w:snapToGrid w:val="0"/>
        </w:rPr>
        <w:t>HIV</w:t>
      </w:r>
      <w:r>
        <w:rPr>
          <w:rFonts w:ascii="宋体" w:hAnsi="宋体" w:hint="eastAsia"/>
          <w:snapToGrid w:val="0"/>
        </w:rPr>
        <w:t>）抗体。</w:t>
      </w:r>
    </w:p>
    <w:p w14:paraId="65DD3641"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限定职业：</w:t>
      </w:r>
    </w:p>
    <w:p w14:paraId="72774629" w14:textId="77777777" w:rsidR="008F265F" w:rsidRPr="00FD5F2C" w:rsidRDefault="00A542E4">
      <w:pPr>
        <w:autoSpaceDE w:val="0"/>
        <w:autoSpaceDN w:val="0"/>
        <w:adjustRightInd w:val="0"/>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医生和牙科医生、护士、医院化验室工作人员、医院护工、医生助理和牙医助理、救护车工作人员、助产士、消防队员、警察、狱警。</w:t>
      </w:r>
    </w:p>
    <w:p w14:paraId="64CB77F9"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在任何治愈艾滋病或阻止人类免疫缺陷病毒（</w:t>
      </w:r>
      <w:r w:rsidRPr="00FD5F2C">
        <w:rPr>
          <w:rFonts w:ascii="宋体" w:hAnsi="宋体" w:cs="Arial"/>
          <w:snapToGrid w:val="0"/>
          <w:color w:val="000000"/>
          <w:shd w:val="pct15" w:color="auto" w:fill="FFFFFF"/>
        </w:rPr>
        <w:t>HIV</w:t>
      </w:r>
      <w:r w:rsidRPr="00FD5F2C">
        <w:rPr>
          <w:rFonts w:ascii="宋体" w:hAnsi="宋体" w:cs="Arial" w:hint="eastAsia"/>
          <w:snapToGrid w:val="0"/>
          <w:color w:val="000000"/>
          <w:shd w:val="pct15" w:color="auto" w:fill="FFFFFF"/>
        </w:rPr>
        <w:t>）病毒作用的疗法被发</w:t>
      </w:r>
      <w:r w:rsidRPr="00FD5F2C">
        <w:rPr>
          <w:rFonts w:ascii="宋体" w:hAnsi="宋体" w:cs="Arial" w:hint="eastAsia"/>
          <w:snapToGrid w:val="0"/>
          <w:color w:val="000000"/>
          <w:shd w:val="pct15" w:color="auto" w:fill="FFFFFF"/>
        </w:rPr>
        <w:lastRenderedPageBreak/>
        <w:t>现以后，或能防止艾滋病发生的医疗方法被研究出来以后，本保障将不再予以赔付。</w:t>
      </w:r>
      <w:r w:rsidRPr="00FD5F2C">
        <w:rPr>
          <w:rFonts w:ascii="宋体" w:hAnsi="宋体" w:cs="Arial"/>
          <w:snapToGrid w:val="0"/>
          <w:color w:val="000000"/>
          <w:shd w:val="pct15" w:color="auto" w:fill="FFFFFF"/>
        </w:rPr>
        <w:t xml:space="preserve"> </w:t>
      </w:r>
    </w:p>
    <w:p w14:paraId="6CC666A4"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我们承担本项疾病责任不受本主险合同责任免除中“被保险人感染艾滋病病毒或患艾滋病”的限制。</w:t>
      </w:r>
    </w:p>
    <w:p w14:paraId="125CA3F5"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植物人状态</w:t>
      </w:r>
    </w:p>
    <w:p w14:paraId="070AA395"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指脑皮质广泛性坏死而导致对自身及周边的认知能力完全丧失，但脑干功能依然存在。必须由神经专科医生明确诊断，并有头颅断层扫描（</w:t>
      </w:r>
      <w:r>
        <w:rPr>
          <w:rFonts w:ascii="宋体" w:hAnsi="宋体" w:cs="Arial"/>
          <w:snapToGrid w:val="0"/>
          <w:color w:val="000000"/>
        </w:rPr>
        <w:t>CT</w:t>
      </w:r>
      <w:r>
        <w:rPr>
          <w:rFonts w:ascii="宋体" w:hAnsi="宋体" w:cs="Arial" w:hint="eastAsia"/>
          <w:snapToGrid w:val="0"/>
          <w:color w:val="000000"/>
        </w:rPr>
        <w:t>），核磁共振检查（</w:t>
      </w:r>
      <w:r>
        <w:rPr>
          <w:rFonts w:ascii="宋体" w:hAnsi="宋体" w:cs="Arial"/>
          <w:snapToGrid w:val="0"/>
          <w:color w:val="000000"/>
        </w:rPr>
        <w:t>MRI</w:t>
      </w:r>
      <w:r>
        <w:rPr>
          <w:rFonts w:ascii="宋体" w:hAnsi="宋体" w:cs="Arial" w:hint="eastAsia"/>
          <w:snapToGrid w:val="0"/>
          <w:color w:val="000000"/>
        </w:rPr>
        <w:t>）或正电子发射断层扫描（</w:t>
      </w:r>
      <w:r>
        <w:rPr>
          <w:rFonts w:ascii="宋体" w:hAnsi="宋体" w:cs="Arial"/>
          <w:snapToGrid w:val="0"/>
          <w:color w:val="000000"/>
        </w:rPr>
        <w:t>PET</w:t>
      </w:r>
      <w:r>
        <w:rPr>
          <w:rFonts w:ascii="宋体" w:hAnsi="宋体" w:cs="Arial" w:hint="eastAsia"/>
          <w:snapToGrid w:val="0"/>
          <w:color w:val="000000"/>
        </w:rPr>
        <w:t>）等影像学检查证实。</w:t>
      </w:r>
    </w:p>
    <w:p w14:paraId="3E3239BC"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上述情况必须有至少30天的病历记录加以证实。由于酒精或滥用药物所致的植物人状态不在保障范围内。</w:t>
      </w:r>
    </w:p>
    <w:p w14:paraId="27DDBA63"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亚历山大病</w:t>
      </w:r>
    </w:p>
    <w:p w14:paraId="004440AF"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遗传性中枢神经系统退行性病变，特点为脑白质营养不良。临床表现为惊厥发作、智力下降、球麻痹、共济失调、痉挛性瘫痪。本病经相关专科医生确诊180天后，仍存在自主生活能力完全丧失，无法独立完成六项基本日常生活活动中的三项或三项以上。</w:t>
      </w:r>
    </w:p>
    <w:p w14:paraId="55722F72" w14:textId="77777777" w:rsidR="008F265F" w:rsidRDefault="00A542E4">
      <w:pPr>
        <w:autoSpaceDE w:val="0"/>
        <w:autoSpaceDN w:val="0"/>
        <w:adjustRightInd w:val="0"/>
        <w:spacing w:beforeLines="50" w:before="156"/>
        <w:ind w:firstLineChars="200" w:firstLine="420"/>
        <w:jc w:val="left"/>
        <w:rPr>
          <w:rFonts w:ascii="宋体" w:hAnsi="宋体"/>
          <w:color w:val="000000"/>
        </w:rPr>
      </w:pPr>
      <w:r>
        <w:rPr>
          <w:rFonts w:ascii="宋体" w:hAnsi="宋体" w:hint="eastAsia"/>
          <w:color w:val="000000"/>
        </w:rPr>
        <w:t>我们承担本项疾病责任不受本主险合同责任免除中“遗传性疾病，先天性畸形、变形或染色体异常”的限制。</w:t>
      </w:r>
    </w:p>
    <w:p w14:paraId="18931943"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非阿尔茨海默病所致严重痴呆</w:t>
      </w:r>
    </w:p>
    <w:p w14:paraId="5E3CCFF7"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指因阿尔茨海默病以外的脑的器质性疾病造成脑功能衰竭导致永久不可逆性的严重痴呆，临床表现为明显的认知能力障碍、行为异常和社交能力</w:t>
      </w:r>
      <w:r>
        <w:rPr>
          <w:rFonts w:ascii="宋体" w:hAnsi="宋体" w:cs="Arial" w:hint="eastAsia"/>
          <w:snapToGrid w:val="0"/>
          <w:color w:val="000000"/>
        </w:rPr>
        <w:lastRenderedPageBreak/>
        <w:t>减退。被保险人自主生活能力完全丧失，无法独立完成六项基本日常生活活动中的三项或三项以上，日常生活必须持续受到他人监护。导致痴呆的疾病必须明确诊断，并且由完整的临床、实验室和影像学检查结果证实。</w:t>
      </w:r>
    </w:p>
    <w:p w14:paraId="5E033283"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神经官能症和精神疾病不在保障范围内。</w:t>
      </w:r>
    </w:p>
    <w:p w14:paraId="3BB5A820"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严重冠状动脉粥样硬化性心脏病</w:t>
      </w:r>
    </w:p>
    <w:p w14:paraId="42FFB9FA"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指经冠状动脉造影检查明确诊断为主要血管严重狭窄性病变，须满足下列至少一项条件：</w:t>
      </w:r>
    </w:p>
    <w:p w14:paraId="678E8A4E"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．左冠状动脉主干和右冠状动脉中，一支血管管腔堵塞</w:t>
      </w:r>
      <w:r>
        <w:rPr>
          <w:rFonts w:ascii="宋体" w:hAnsi="宋体"/>
          <w:snapToGrid w:val="0"/>
        </w:rPr>
        <w:t>75%</w:t>
      </w:r>
      <w:r>
        <w:rPr>
          <w:rFonts w:ascii="宋体" w:hAnsi="宋体" w:hint="eastAsia"/>
          <w:snapToGrid w:val="0"/>
        </w:rPr>
        <w:t>以上，另一支血管管腔堵塞</w:t>
      </w:r>
      <w:r>
        <w:rPr>
          <w:rFonts w:ascii="宋体" w:hAnsi="宋体"/>
          <w:snapToGrid w:val="0"/>
        </w:rPr>
        <w:t>60%</w:t>
      </w:r>
      <w:r>
        <w:rPr>
          <w:rFonts w:ascii="宋体" w:hAnsi="宋体" w:hint="eastAsia"/>
          <w:snapToGrid w:val="0"/>
        </w:rPr>
        <w:t>以上；</w:t>
      </w:r>
    </w:p>
    <w:p w14:paraId="625CAE0C"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．左前降支、左旋支和右冠状动脉中，至少一支血管管腔堵塞</w:t>
      </w:r>
      <w:r>
        <w:rPr>
          <w:rFonts w:ascii="宋体" w:hAnsi="宋体"/>
          <w:snapToGrid w:val="0"/>
        </w:rPr>
        <w:t>75%</w:t>
      </w:r>
      <w:r>
        <w:rPr>
          <w:rFonts w:ascii="宋体" w:hAnsi="宋体" w:hint="eastAsia"/>
          <w:snapToGrid w:val="0"/>
        </w:rPr>
        <w:t>以上，其他两支血管管腔堵塞</w:t>
      </w:r>
      <w:r>
        <w:rPr>
          <w:rFonts w:ascii="宋体" w:hAnsi="宋体"/>
          <w:snapToGrid w:val="0"/>
        </w:rPr>
        <w:t>60%</w:t>
      </w:r>
      <w:r>
        <w:rPr>
          <w:rFonts w:ascii="宋体" w:hAnsi="宋体" w:hint="eastAsia"/>
          <w:snapToGrid w:val="0"/>
        </w:rPr>
        <w:t>以上。</w:t>
      </w:r>
    </w:p>
    <w:p w14:paraId="188DE8CA"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左前降支的分支血管、左旋支的分支血管及右冠状动脉的分支血管的狭窄不作为本保障的衡量指标。</w:t>
      </w:r>
    </w:p>
    <w:p w14:paraId="17284C7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严重多发性硬化</w:t>
      </w:r>
    </w:p>
    <w:p w14:paraId="000A958D"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多发性硬化是一种以中枢神经系统炎性脱髓鞘病变为主要特点的免疫介导性疾病，病变主要累及白质。本病须经相关专科医生明确诊断，有核磁共振检查（MRI）等影像学检查证实，且已经造成永久不可逆的神经系统功能损害。永久不可逆的神经系统功能损害指疾病确诊180天后，仍存在自主生活能力完全丧失，无法独立完成六项基本日常生活活动中的三项或三项以上。</w:t>
      </w:r>
    </w:p>
    <w:p w14:paraId="311802A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全身性（型）重症肌无力</w:t>
      </w:r>
    </w:p>
    <w:p w14:paraId="012AEF55"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lastRenderedPageBreak/>
        <w:t>是指一种神经与肌肉接头部位传递障碍的自身免疫性疾病，临床特征是局部或全身横纹肌于活动时易于疲劳无力，颅神经眼外肌最易累及，也可涉及呼吸肌、下肢近端肌群以至全身肌肉，须经</w:t>
      </w:r>
      <w:r>
        <w:rPr>
          <w:rFonts w:ascii="宋体" w:hAnsi="宋体" w:cs="Arial"/>
          <w:snapToGrid w:val="0"/>
          <w:color w:val="000000"/>
        </w:rPr>
        <w:t>我们</w:t>
      </w:r>
      <w:r>
        <w:rPr>
          <w:rFonts w:ascii="宋体" w:hAnsi="宋体" w:cs="Arial" w:hint="eastAsia"/>
          <w:snapToGrid w:val="0"/>
          <w:color w:val="000000"/>
        </w:rPr>
        <w:t>认可的神经科医师确诊。其诊断必须同时具有下列情况：</w:t>
      </w:r>
    </w:p>
    <w:p w14:paraId="672C3A23"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．经药物、胸腺手术治疗一年以上无法控制病情，丧失正常工作能力；</w:t>
      </w:r>
    </w:p>
    <w:p w14:paraId="26BF3BA4"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．出现眼睑下垂，或延髓肌受累引起的构音困难、进食呛咳，或由于肌无力累及延髓肌、呼吸肌而致机体呼吸功能不正常的危急状态即肌无力危象；</w:t>
      </w:r>
    </w:p>
    <w:p w14:paraId="115FC93D"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．症状缓解、复发及恶化交替出现，临床接受新斯的明等抗胆碱酯酶药物治疗的病史。</w:t>
      </w:r>
    </w:p>
    <w:p w14:paraId="22B7E7A7"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严重心肌病</w:t>
      </w:r>
    </w:p>
    <w:p w14:paraId="043EB7E1"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指不明原因引起的一类心肌病变，包括原发性扩张型心肌病、原发性肥厚型心肌病及原发性限制型心肌病三种，病变必须已造成事实上心室功能障碍而出现明显的心功能衰竭（美国纽约心脏病学会（New York Heart Association，NYHA）心功能状态分级</w:t>
      </w:r>
      <w:r>
        <w:rPr>
          <w:rFonts w:ascii="宋体" w:hAnsi="宋体" w:hint="eastAsia"/>
        </w:rPr>
        <w:t>Ⅳ</w:t>
      </w:r>
      <w:r>
        <w:rPr>
          <w:rFonts w:ascii="宋体" w:hAnsi="宋体" w:cs="Arial" w:hint="eastAsia"/>
          <w:snapToGrid w:val="0"/>
          <w:color w:val="000000"/>
        </w:rPr>
        <w:t>级），且有相关住院医疗记录显示</w:t>
      </w:r>
      <w:r>
        <w:rPr>
          <w:rFonts w:ascii="宋体" w:hAnsi="宋体" w:hint="eastAsia"/>
        </w:rPr>
        <w:t>Ⅳ</w:t>
      </w:r>
      <w:r>
        <w:rPr>
          <w:rFonts w:ascii="宋体" w:hAnsi="宋体" w:cs="Arial" w:hint="eastAsia"/>
          <w:snapToGrid w:val="0"/>
          <w:color w:val="000000"/>
        </w:rPr>
        <w:t>级心功能衰竭状态持续至少一百八十天。</w:t>
      </w:r>
    </w:p>
    <w:p w14:paraId="7520EDC7"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Pr>
          <w:rFonts w:ascii="宋体" w:hAnsi="宋体" w:cs="Arial" w:hint="eastAsia"/>
          <w:snapToGrid w:val="0"/>
          <w:color w:val="000000"/>
        </w:rPr>
        <w:t>本病须经我们认可的医院的专科医生明确诊断。</w:t>
      </w:r>
      <w:r w:rsidRPr="00FD5F2C">
        <w:rPr>
          <w:rFonts w:ascii="宋体" w:hAnsi="宋体" w:cs="Arial" w:hint="eastAsia"/>
          <w:snapToGrid w:val="0"/>
          <w:color w:val="000000"/>
          <w:shd w:val="pct15" w:color="auto" w:fill="FFFFFF"/>
        </w:rPr>
        <w:t>继发于全身性疾病或其他器官系统疾病造成的心肌病变除外。</w:t>
      </w:r>
    </w:p>
    <w:p w14:paraId="0B4EF098"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严重心肌炎</w:t>
      </w:r>
    </w:p>
    <w:p w14:paraId="6E70B016"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指心肌局限性或弥漫性的急性或慢性炎症病变，导致心脏功能障碍，达到美国纽约心脏病学会（New York Heart Association，NYHA）心功能状</w:t>
      </w:r>
      <w:r>
        <w:rPr>
          <w:rFonts w:ascii="宋体" w:hAnsi="宋体" w:cs="Arial" w:hint="eastAsia"/>
          <w:snapToGrid w:val="0"/>
          <w:color w:val="000000"/>
        </w:rPr>
        <w:lastRenderedPageBreak/>
        <w:t>态分级</w:t>
      </w:r>
      <w:r>
        <w:rPr>
          <w:rFonts w:ascii="宋体" w:hAnsi="宋体" w:hint="eastAsia"/>
        </w:rPr>
        <w:t>Ⅳ</w:t>
      </w:r>
      <w:r>
        <w:rPr>
          <w:rFonts w:ascii="宋体" w:hAnsi="宋体" w:cs="Arial" w:hint="eastAsia"/>
          <w:snapToGrid w:val="0"/>
          <w:color w:val="000000"/>
        </w:rPr>
        <w:t>级，且需持续至少</w:t>
      </w:r>
      <w:r>
        <w:rPr>
          <w:rFonts w:ascii="宋体" w:hAnsi="宋体" w:cs="Arial"/>
          <w:snapToGrid w:val="0"/>
          <w:color w:val="000000"/>
        </w:rPr>
        <w:t>90</w:t>
      </w:r>
      <w:r>
        <w:rPr>
          <w:rFonts w:ascii="宋体" w:hAnsi="宋体" w:cs="Arial" w:hint="eastAsia"/>
          <w:snapToGrid w:val="0"/>
          <w:color w:val="000000"/>
        </w:rPr>
        <w:t>天。</w:t>
      </w:r>
    </w:p>
    <w:p w14:paraId="74203706"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肺淋巴管肌瘤病</w:t>
      </w:r>
    </w:p>
    <w:p w14:paraId="12EBC4EA"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指一种弥漫性肺部疾病，主要病理改变为肺间质、支气管、血管和淋巴管内出现未成熟的平滑肌异常增生，同时需满足下列全部条件：</w:t>
      </w:r>
    </w:p>
    <w:p w14:paraId="79EDEF7D"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1．经组织病理学诊断；</w:t>
      </w:r>
    </w:p>
    <w:p w14:paraId="38098E3D"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2．CT显示双肺弥漫性囊性改变；</w:t>
      </w:r>
    </w:p>
    <w:p w14:paraId="61A28F80"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3．血气分析提示低氧血症，动脉血氧分压（PaO</w:t>
      </w:r>
      <w:r>
        <w:rPr>
          <w:rFonts w:ascii="宋体" w:hAnsi="宋体" w:cs="Arial"/>
          <w:snapToGrid w:val="0"/>
          <w:color w:val="000000"/>
          <w:vertAlign w:val="subscript"/>
        </w:rPr>
        <w:t>2</w:t>
      </w:r>
      <w:r>
        <w:rPr>
          <w:rFonts w:ascii="宋体" w:hAnsi="宋体" w:cs="Arial" w:hint="eastAsia"/>
          <w:snapToGrid w:val="0"/>
          <w:color w:val="000000"/>
        </w:rPr>
        <w:t>）持续≤50mmHg；</w:t>
      </w:r>
    </w:p>
    <w:p w14:paraId="34681D6F" w14:textId="77777777" w:rsidR="008F265F" w:rsidRDefault="00A542E4">
      <w:pPr>
        <w:autoSpaceDE w:val="0"/>
        <w:autoSpaceDN w:val="0"/>
        <w:adjustRightInd w:val="0"/>
        <w:ind w:firstLineChars="200" w:firstLine="420"/>
        <w:rPr>
          <w:rFonts w:ascii="宋体" w:hAnsi="宋体"/>
          <w:snapToGrid w:val="0"/>
        </w:rPr>
      </w:pPr>
      <w:r>
        <w:rPr>
          <w:rFonts w:ascii="宋体" w:hAnsi="宋体" w:cs="Arial" w:hint="eastAsia"/>
          <w:snapToGrid w:val="0"/>
          <w:color w:val="000000"/>
        </w:rPr>
        <w:t>4．血清VEGF-D（血管内皮生长因子D）升高。</w:t>
      </w:r>
    </w:p>
    <w:p w14:paraId="193DEF70"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侵蚀性葡萄胎（或称恶性葡萄胎）</w:t>
      </w:r>
    </w:p>
    <w:p w14:paraId="7817536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该类疾病是指异常增生的绒毛组织浸润性生长浸入子宫肌层或转移至其他器官或组织的葡萄胎，并已经进行化疗或手术治疗的。</w:t>
      </w:r>
    </w:p>
    <w:p w14:paraId="31E8A88F"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心脏粘液瘤手术</w:t>
      </w:r>
    </w:p>
    <w:p w14:paraId="45974AB1"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为了治疗心脏粘液瘤，实际实施了开胸开心（含胸腔镜下）心脏粘液瘤切除手术。</w:t>
      </w:r>
    </w:p>
    <w:p w14:paraId="581952D9"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经导管介入手术治疗不在保障范围内。</w:t>
      </w:r>
    </w:p>
    <w:p w14:paraId="5E8C33E9"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感染性心内膜炎</w:t>
      </w:r>
    </w:p>
    <w:p w14:paraId="43B04CC2"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指因细菌、真菌和其他微生物（如病毒、立克次体、衣原体、螺旋体等）直接感染而产生心瓣膜或心室壁内膜的炎症，须经心脏专科医生确诊，并符合以下所有条件：</w:t>
      </w:r>
    </w:p>
    <w:p w14:paraId="5D7D8385"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．血液培养测试结果为阳性，并至少符合以下条件之一：</w:t>
      </w:r>
    </w:p>
    <w:p w14:paraId="332B6560" w14:textId="77777777" w:rsidR="008F265F" w:rsidRDefault="00A542E4">
      <w:pPr>
        <w:ind w:firstLine="420"/>
        <w:rPr>
          <w:rFonts w:ascii="宋体" w:hAnsi="宋体"/>
          <w:snapToGrid w:val="0"/>
        </w:rPr>
      </w:pPr>
      <w:r>
        <w:rPr>
          <w:rFonts w:ascii="宋体" w:hAnsi="宋体" w:hint="eastAsia"/>
          <w:snapToGrid w:val="0"/>
        </w:rPr>
        <w:lastRenderedPageBreak/>
        <w:t>（</w:t>
      </w:r>
      <w:r>
        <w:rPr>
          <w:rFonts w:ascii="宋体" w:hAnsi="宋体"/>
          <w:snapToGrid w:val="0"/>
        </w:rPr>
        <w:t>1</w:t>
      </w:r>
      <w:r>
        <w:rPr>
          <w:rFonts w:ascii="宋体" w:hAnsi="宋体" w:hint="eastAsia"/>
          <w:snapToGrid w:val="0"/>
        </w:rPr>
        <w:t>）微生物：在赘生物，栓塞的赘生物或心脏内脓肿培养或组织检查证实有微生物；</w:t>
      </w:r>
    </w:p>
    <w:p w14:paraId="22DCE879" w14:textId="77777777" w:rsidR="008F265F" w:rsidRDefault="00A542E4">
      <w:pPr>
        <w:ind w:firstLine="420"/>
        <w:rPr>
          <w:rFonts w:ascii="宋体" w:hAnsi="宋体"/>
          <w:snapToGrid w:val="0"/>
        </w:rPr>
      </w:pPr>
      <w:r>
        <w:rPr>
          <w:rFonts w:ascii="宋体" w:hAnsi="宋体" w:hint="eastAsia"/>
          <w:snapToGrid w:val="0"/>
        </w:rPr>
        <w:t>（</w:t>
      </w:r>
      <w:r>
        <w:rPr>
          <w:rFonts w:ascii="宋体" w:hAnsi="宋体"/>
          <w:snapToGrid w:val="0"/>
        </w:rPr>
        <w:t>2</w:t>
      </w:r>
      <w:r>
        <w:rPr>
          <w:rFonts w:ascii="宋体" w:hAnsi="宋体" w:hint="eastAsia"/>
          <w:snapToGrid w:val="0"/>
        </w:rPr>
        <w:t>）病理性病灶：组织检查证实赘生物或心脏内脓肿有活动性心内膜炎；</w:t>
      </w:r>
    </w:p>
    <w:p w14:paraId="0FCF2035" w14:textId="77777777" w:rsidR="008F265F" w:rsidRDefault="00A542E4">
      <w:pPr>
        <w:ind w:firstLine="420"/>
        <w:rPr>
          <w:rFonts w:ascii="宋体" w:hAnsi="宋体"/>
          <w:snapToGrid w:val="0"/>
        </w:rPr>
      </w:pPr>
      <w:r>
        <w:rPr>
          <w:rFonts w:ascii="宋体" w:hAnsi="宋体" w:hint="eastAsia"/>
          <w:snapToGrid w:val="0"/>
        </w:rPr>
        <w:t>（</w:t>
      </w:r>
      <w:r>
        <w:rPr>
          <w:rFonts w:ascii="宋体" w:hAnsi="宋体"/>
          <w:snapToGrid w:val="0"/>
        </w:rPr>
        <w:t>3</w:t>
      </w:r>
      <w:r>
        <w:rPr>
          <w:rFonts w:ascii="宋体" w:hAnsi="宋体" w:hint="eastAsia"/>
          <w:snapToGrid w:val="0"/>
        </w:rPr>
        <w:t>）分别两次血液培养证实有典型的微生物且与心内膜炎符合；</w:t>
      </w:r>
    </w:p>
    <w:p w14:paraId="18135837" w14:textId="77777777" w:rsidR="008F265F" w:rsidRDefault="00A542E4">
      <w:pPr>
        <w:ind w:firstLine="420"/>
        <w:rPr>
          <w:rFonts w:ascii="宋体" w:hAnsi="宋体"/>
          <w:snapToGrid w:val="0"/>
        </w:rPr>
      </w:pPr>
      <w:r>
        <w:rPr>
          <w:rFonts w:ascii="宋体" w:hAnsi="宋体" w:hint="eastAsia"/>
          <w:snapToGrid w:val="0"/>
        </w:rPr>
        <w:t>（</w:t>
      </w:r>
      <w:r>
        <w:rPr>
          <w:rFonts w:ascii="宋体" w:hAnsi="宋体"/>
          <w:snapToGrid w:val="0"/>
        </w:rPr>
        <w:t>4</w:t>
      </w:r>
      <w:r>
        <w:rPr>
          <w:rFonts w:ascii="宋体" w:hAnsi="宋体" w:hint="eastAsia"/>
          <w:snapToGrid w:val="0"/>
        </w:rPr>
        <w:t>）持续血液培养证实有微生物阳性反应，且与心内膜炎符合。</w:t>
      </w:r>
    </w:p>
    <w:p w14:paraId="392BE9FB"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．心内膜炎引起中度心瓣膜关闭不全（指返流指数</w:t>
      </w:r>
      <w:r>
        <w:rPr>
          <w:rFonts w:ascii="宋体" w:hAnsi="宋体"/>
          <w:snapToGrid w:val="0"/>
        </w:rPr>
        <w:t>20%</w:t>
      </w:r>
      <w:r>
        <w:rPr>
          <w:rFonts w:ascii="宋体" w:hAnsi="宋体" w:hint="eastAsia"/>
          <w:snapToGrid w:val="0"/>
        </w:rPr>
        <w:t>或以上）或中度心瓣膜狭窄（指心瓣膜开口范围小于或等于正常的</w:t>
      </w:r>
      <w:r>
        <w:rPr>
          <w:rFonts w:ascii="宋体" w:hAnsi="宋体"/>
          <w:snapToGrid w:val="0"/>
        </w:rPr>
        <w:t>30%</w:t>
      </w:r>
      <w:r>
        <w:rPr>
          <w:rFonts w:ascii="宋体" w:hAnsi="宋体" w:hint="eastAsia"/>
          <w:snapToGrid w:val="0"/>
        </w:rPr>
        <w:t>）；</w:t>
      </w:r>
    </w:p>
    <w:p w14:paraId="64BC1E45"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．心内膜炎及心瓣膜损毁程度需经由心脏专科医生确诊。</w:t>
      </w:r>
    </w:p>
    <w:p w14:paraId="1FE21FF9"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肝豆状核变性</w:t>
      </w:r>
    </w:p>
    <w:p w14:paraId="40F1644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肝豆状核变性是一种可能危及生命的铜代谢疾病，以铜沉积造成的渐进性肝功能损害及</w:t>
      </w:r>
      <w:r>
        <w:rPr>
          <w:rFonts w:ascii="宋体" w:hAnsi="宋体" w:cs="Arial"/>
          <w:snapToGrid w:val="0"/>
          <w:color w:val="000000"/>
        </w:rPr>
        <w:t>/</w:t>
      </w:r>
      <w:r>
        <w:rPr>
          <w:rFonts w:ascii="宋体" w:hAnsi="宋体" w:cs="Arial" w:hint="eastAsia"/>
          <w:snapToGrid w:val="0"/>
          <w:color w:val="000000"/>
        </w:rPr>
        <w:t>或神经功能恶化为特征。必须由</w:t>
      </w:r>
      <w:r>
        <w:rPr>
          <w:rFonts w:ascii="宋体" w:hAnsi="宋体" w:cs="Arial"/>
          <w:snapToGrid w:val="0"/>
          <w:color w:val="000000"/>
        </w:rPr>
        <w:t>我们</w:t>
      </w:r>
      <w:r>
        <w:rPr>
          <w:rFonts w:ascii="宋体" w:hAnsi="宋体" w:cs="Arial" w:hint="eastAsia"/>
          <w:snapToGrid w:val="0"/>
          <w:color w:val="000000"/>
        </w:rPr>
        <w:t>认可的医院的专科医生通过肝脏活组织检查结果确定诊断并配合螯合剂治疗持续至少</w:t>
      </w:r>
      <w:r>
        <w:rPr>
          <w:rFonts w:ascii="宋体" w:hAnsi="宋体" w:cs="Arial"/>
          <w:snapToGrid w:val="0"/>
          <w:color w:val="000000"/>
        </w:rPr>
        <w:t>6</w:t>
      </w:r>
      <w:r>
        <w:rPr>
          <w:rFonts w:ascii="宋体" w:hAnsi="宋体" w:cs="Arial" w:hint="eastAsia"/>
          <w:snapToGrid w:val="0"/>
          <w:color w:val="000000"/>
        </w:rPr>
        <w:t>个月。</w:t>
      </w:r>
    </w:p>
    <w:p w14:paraId="07A1DDC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我们承担本项疾病责任不受本主险合同责任免除中“遗传性疾病，先天性畸形、变形或染色体异常”的限制。</w:t>
      </w:r>
    </w:p>
    <w:p w14:paraId="67C6D6A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肺源性心脏病</w:t>
      </w:r>
    </w:p>
    <w:p w14:paraId="522625C0"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指由于各种胸肺及支气管病变而继发的肺动脉高压，最后导致以右室肥大为特征的心脏病。须经呼吸专科医生确诊，且必须同时满足如下诊断标准：</w:t>
      </w:r>
    </w:p>
    <w:p w14:paraId="1C832978"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．左心房压力增高（不低于</w:t>
      </w:r>
      <w:r>
        <w:rPr>
          <w:rFonts w:ascii="宋体" w:hAnsi="宋体"/>
          <w:snapToGrid w:val="0"/>
        </w:rPr>
        <w:t>20</w:t>
      </w:r>
      <w:r>
        <w:rPr>
          <w:rFonts w:ascii="宋体" w:hAnsi="宋体" w:hint="eastAsia"/>
          <w:snapToGrid w:val="0"/>
        </w:rPr>
        <w:t>个单位）；</w:t>
      </w:r>
    </w:p>
    <w:p w14:paraId="6EDA9797"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．肺血管阻力高于正常值</w:t>
      </w:r>
      <w:r>
        <w:rPr>
          <w:rFonts w:ascii="宋体" w:hAnsi="宋体"/>
          <w:snapToGrid w:val="0"/>
        </w:rPr>
        <w:t>3</w:t>
      </w:r>
      <w:r>
        <w:rPr>
          <w:rFonts w:ascii="宋体" w:hAnsi="宋体" w:hint="eastAsia"/>
          <w:snapToGrid w:val="0"/>
        </w:rPr>
        <w:t>个单位（</w:t>
      </w:r>
      <w:r>
        <w:rPr>
          <w:rFonts w:ascii="宋体" w:hAnsi="宋体"/>
          <w:snapToGrid w:val="0"/>
        </w:rPr>
        <w:t>Pulmonary Resistance</w:t>
      </w:r>
      <w:r>
        <w:rPr>
          <w:rFonts w:ascii="宋体" w:hAnsi="宋体" w:hint="eastAsia"/>
          <w:snapToGrid w:val="0"/>
        </w:rPr>
        <w:t>）；</w:t>
      </w:r>
    </w:p>
    <w:p w14:paraId="52F66222"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．肺动脉血压不低于</w:t>
      </w:r>
      <w:r>
        <w:rPr>
          <w:rFonts w:ascii="宋体" w:hAnsi="宋体"/>
          <w:snapToGrid w:val="0"/>
        </w:rPr>
        <w:t>40</w:t>
      </w:r>
      <w:r>
        <w:rPr>
          <w:rFonts w:ascii="宋体" w:hAnsi="宋体" w:hint="eastAsia"/>
          <w:snapToGrid w:val="0"/>
        </w:rPr>
        <w:t>毫米汞柱；</w:t>
      </w:r>
    </w:p>
    <w:p w14:paraId="511F89F1" w14:textId="77777777" w:rsidR="008F265F" w:rsidRDefault="00A542E4">
      <w:pPr>
        <w:ind w:firstLine="420"/>
        <w:rPr>
          <w:rFonts w:ascii="宋体" w:hAnsi="宋体"/>
          <w:snapToGrid w:val="0"/>
        </w:rPr>
      </w:pPr>
      <w:r>
        <w:rPr>
          <w:rFonts w:ascii="宋体" w:hAnsi="宋体"/>
          <w:snapToGrid w:val="0"/>
        </w:rPr>
        <w:t>4</w:t>
      </w:r>
      <w:r>
        <w:rPr>
          <w:rFonts w:ascii="宋体" w:hAnsi="宋体" w:hint="eastAsia"/>
          <w:snapToGrid w:val="0"/>
        </w:rPr>
        <w:t>．肺动脉楔压不低于</w:t>
      </w:r>
      <w:r>
        <w:rPr>
          <w:rFonts w:ascii="宋体" w:hAnsi="宋体"/>
          <w:snapToGrid w:val="0"/>
        </w:rPr>
        <w:t>6</w:t>
      </w:r>
      <w:r>
        <w:rPr>
          <w:rFonts w:ascii="宋体" w:hAnsi="宋体" w:hint="eastAsia"/>
          <w:snapToGrid w:val="0"/>
        </w:rPr>
        <w:t>毫米汞柱；</w:t>
      </w:r>
    </w:p>
    <w:p w14:paraId="41FBC95A" w14:textId="77777777" w:rsidR="008F265F" w:rsidRDefault="00A542E4">
      <w:pPr>
        <w:ind w:firstLine="420"/>
        <w:rPr>
          <w:rFonts w:ascii="宋体" w:hAnsi="宋体"/>
          <w:snapToGrid w:val="0"/>
        </w:rPr>
      </w:pPr>
      <w:r>
        <w:rPr>
          <w:rFonts w:ascii="宋体" w:hAnsi="宋体"/>
          <w:snapToGrid w:val="0"/>
        </w:rPr>
        <w:lastRenderedPageBreak/>
        <w:t>5</w:t>
      </w:r>
      <w:r>
        <w:rPr>
          <w:rFonts w:ascii="宋体" w:hAnsi="宋体" w:hint="eastAsia"/>
          <w:snapToGrid w:val="0"/>
        </w:rPr>
        <w:t>．右心室心脏舒张期末压力不低于</w:t>
      </w:r>
      <w:r>
        <w:rPr>
          <w:rFonts w:ascii="宋体" w:hAnsi="宋体"/>
          <w:snapToGrid w:val="0"/>
        </w:rPr>
        <w:t>8</w:t>
      </w:r>
      <w:r>
        <w:rPr>
          <w:rFonts w:ascii="宋体" w:hAnsi="宋体" w:hint="eastAsia"/>
          <w:snapToGrid w:val="0"/>
        </w:rPr>
        <w:t>毫米汞柱；</w:t>
      </w:r>
    </w:p>
    <w:p w14:paraId="736863A0" w14:textId="77777777" w:rsidR="008F265F" w:rsidRDefault="00A542E4">
      <w:pPr>
        <w:ind w:firstLine="420"/>
        <w:rPr>
          <w:rFonts w:ascii="宋体" w:hAnsi="宋体"/>
          <w:snapToGrid w:val="0"/>
        </w:rPr>
      </w:pPr>
      <w:r>
        <w:rPr>
          <w:rFonts w:ascii="宋体" w:hAnsi="宋体"/>
          <w:snapToGrid w:val="0"/>
        </w:rPr>
        <w:t>6</w:t>
      </w:r>
      <w:r>
        <w:rPr>
          <w:rFonts w:ascii="宋体" w:hAnsi="宋体" w:hint="eastAsia"/>
          <w:snapToGrid w:val="0"/>
        </w:rPr>
        <w:t>．右心室过度肥大、扩张，出现右心衰竭和呼吸困难。</w:t>
      </w:r>
    </w:p>
    <w:p w14:paraId="06C2DA7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肾髓质囊性病</w:t>
      </w:r>
    </w:p>
    <w:p w14:paraId="7C443CC7"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肾髓质囊性病的诊断须同时符合下列要求：</w:t>
      </w:r>
    </w:p>
    <w:p w14:paraId="60DCA2EA"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．肾髓质有囊肿、肾小管萎缩及间质纤维化等病理改变；</w:t>
      </w:r>
    </w:p>
    <w:p w14:paraId="0B62D855"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．肾功能衰竭；</w:t>
      </w:r>
    </w:p>
    <w:p w14:paraId="6A11E8E0"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．诊断须由肾组织活检确定。</w:t>
      </w:r>
    </w:p>
    <w:p w14:paraId="4C1FDBD3"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我们承担本项疾病责任不受本主险合同责任免除中“遗传性疾病，先天性畸形、变形或染色体异常”的限制。</w:t>
      </w:r>
    </w:p>
    <w:p w14:paraId="7D41108E"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严重继发性肺动脉高压</w:t>
      </w:r>
    </w:p>
    <w:p w14:paraId="44250ECC"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继发性肺动脉压力持续增高，导致右心室肥厚，已经造成永久不可逆性的体力活动能力受限，达到美国纽约心脏病学会（New York Heart Association，NYHA）心功能状态分级</w:t>
      </w:r>
      <w:r>
        <w:rPr>
          <w:rFonts w:ascii="宋体" w:hAnsi="宋体" w:hint="eastAsia"/>
        </w:rPr>
        <w:t>Ⅳ</w:t>
      </w:r>
      <w:r>
        <w:rPr>
          <w:rFonts w:ascii="宋体" w:hAnsi="宋体" w:cs="Arial" w:hint="eastAsia"/>
          <w:snapToGrid w:val="0"/>
          <w:color w:val="000000"/>
        </w:rPr>
        <w:t>级。诊断需要由心脏科专家确诊，并且心导管检查报告显示静息状态下肺动脉平均压超过</w:t>
      </w:r>
      <w:r>
        <w:rPr>
          <w:rFonts w:ascii="宋体" w:hAnsi="宋体" w:cs="Arial"/>
          <w:snapToGrid w:val="0"/>
          <w:color w:val="000000"/>
        </w:rPr>
        <w:t>36mmHg</w:t>
      </w:r>
      <w:r>
        <w:rPr>
          <w:rFonts w:ascii="宋体" w:hAnsi="宋体" w:cs="Arial" w:hint="eastAsia"/>
          <w:snapToGrid w:val="0"/>
          <w:color w:val="000000"/>
        </w:rPr>
        <w:t>（含）。</w:t>
      </w:r>
    </w:p>
    <w:p w14:paraId="5CB581A6"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所有先天性心脏疾病直接或间接引起的肺动脉高压也不在保障范围内。</w:t>
      </w:r>
    </w:p>
    <w:p w14:paraId="3A3B9978"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进行性核上性麻痹</w:t>
      </w:r>
    </w:p>
    <w:p w14:paraId="1B7B541B"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一种隐袭起病、逐渐加重的神经系统变性疾病。本疾病必须由</w:t>
      </w:r>
      <w:r>
        <w:rPr>
          <w:rFonts w:ascii="宋体" w:hAnsi="宋体" w:cs="Arial"/>
          <w:snapToGrid w:val="0"/>
          <w:color w:val="000000"/>
        </w:rPr>
        <w:t>我们</w:t>
      </w:r>
      <w:r>
        <w:rPr>
          <w:rFonts w:ascii="宋体" w:hAnsi="宋体" w:cs="Arial" w:hint="eastAsia"/>
          <w:snapToGrid w:val="0"/>
          <w:color w:val="000000"/>
        </w:rPr>
        <w:t>认可的医院的神经科专科医生确诊，并须满足下列所有条件：</w:t>
      </w:r>
    </w:p>
    <w:p w14:paraId="65565C89"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．步态共济失调；</w:t>
      </w:r>
    </w:p>
    <w:p w14:paraId="3D28CD9C"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．对称性眼球垂直运动障碍；</w:t>
      </w:r>
    </w:p>
    <w:p w14:paraId="6164AB58" w14:textId="77777777" w:rsidR="008F265F" w:rsidRDefault="00A542E4">
      <w:pPr>
        <w:ind w:firstLine="420"/>
        <w:rPr>
          <w:rFonts w:ascii="宋体" w:hAnsi="宋体"/>
          <w:snapToGrid w:val="0"/>
        </w:rPr>
      </w:pPr>
      <w:r>
        <w:rPr>
          <w:rFonts w:ascii="宋体" w:hAnsi="宋体"/>
          <w:snapToGrid w:val="0"/>
        </w:rPr>
        <w:lastRenderedPageBreak/>
        <w:t>3</w:t>
      </w:r>
      <w:r>
        <w:rPr>
          <w:rFonts w:ascii="宋体" w:hAnsi="宋体" w:hint="eastAsia"/>
          <w:snapToGrid w:val="0"/>
        </w:rPr>
        <w:t>．假性球麻痹，表现为构音障碍和吞咽困难。</w:t>
      </w:r>
    </w:p>
    <w:p w14:paraId="6E0E285B"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失去一肢及一眼</w:t>
      </w:r>
    </w:p>
    <w:p w14:paraId="302F1FA6"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因疾病或意外伤害导致单眼视力丧失及任何一肢自腕关节或踝关节近端（靠近躯干端）以上完全性断离。</w:t>
      </w:r>
    </w:p>
    <w:p w14:paraId="1ADDEF0F"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单眼视力丧失指单眼视力永久不可逆性丧失，患眼须满足下列至少一项条件：</w:t>
      </w:r>
    </w:p>
    <w:p w14:paraId="4F28DE6D"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1．眼球缺失或摘除；</w:t>
      </w:r>
    </w:p>
    <w:p w14:paraId="6DE9DC7A"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2．矫正视力低于0.02（采用国际标准视力表，如果使用其他视力表应进行换算）；</w:t>
      </w:r>
    </w:p>
    <w:p w14:paraId="3FBC2F34"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3．视野半径小于5度。</w:t>
      </w:r>
    </w:p>
    <w:p w14:paraId="316BB389" w14:textId="77777777" w:rsidR="008F265F" w:rsidRPr="00FD5F2C" w:rsidRDefault="00A542E4">
      <w:pPr>
        <w:autoSpaceDE w:val="0"/>
        <w:autoSpaceDN w:val="0"/>
        <w:adjustRightInd w:val="0"/>
        <w:spacing w:beforeLines="50" w:before="156"/>
        <w:ind w:firstLineChars="200" w:firstLine="420"/>
        <w:rPr>
          <w:rFonts w:ascii="宋体" w:hAnsi="宋体"/>
          <w:snapToGrid w:val="0"/>
          <w:shd w:val="pct15" w:color="auto" w:fill="FFFFFF"/>
        </w:rPr>
      </w:pPr>
      <w:r w:rsidRPr="00FD5F2C">
        <w:rPr>
          <w:rFonts w:ascii="宋体" w:hAnsi="宋体" w:cs="Arial" w:hint="eastAsia"/>
          <w:snapToGrid w:val="0"/>
          <w:color w:val="000000"/>
          <w:shd w:val="pct15" w:color="auto" w:fill="FFFFFF"/>
        </w:rPr>
        <w:t>被保险人在三周岁之前因疾病导致单眼视力丧失不在保障范围内。</w:t>
      </w:r>
    </w:p>
    <w:p w14:paraId="0BD359D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嗜铬细胞瘤</w:t>
      </w:r>
    </w:p>
    <w:p w14:paraId="462AB3D2"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是指肾上腺或肾上腺外嗜铬组织出现神经内分泌肿瘤，并</w:t>
      </w:r>
      <w:r>
        <w:rPr>
          <w:rFonts w:ascii="宋体" w:hAnsi="宋体" w:cs="Malgun Gothic" w:hint="eastAsia"/>
          <w:snapToGrid w:val="0"/>
          <w:color w:val="000000"/>
        </w:rPr>
        <w:t>分泌</w:t>
      </w:r>
      <w:r>
        <w:rPr>
          <w:rFonts w:ascii="宋体" w:hAnsi="宋体" w:cs="宋体" w:hint="eastAsia"/>
          <w:snapToGrid w:val="0"/>
          <w:color w:val="000000"/>
        </w:rPr>
        <w:t>过多的儿茶酚胺类，实际实施了手术切除肿瘤的治疗。嗜铬细胞瘤的诊断须经相关专科医生确定。</w:t>
      </w:r>
    </w:p>
    <w:p w14:paraId="6F415EE5"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颅脑手术</w:t>
      </w:r>
    </w:p>
    <w:p w14:paraId="39E26EB4"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被保险人确已实施全麻下的开颅手术</w:t>
      </w:r>
      <w:r w:rsidRPr="00FD5F2C">
        <w:rPr>
          <w:rFonts w:ascii="宋体" w:hAnsi="宋体" w:cs="Arial" w:hint="eastAsia"/>
          <w:snapToGrid w:val="0"/>
          <w:color w:val="000000"/>
          <w:shd w:val="pct15" w:color="auto" w:fill="FFFFFF"/>
        </w:rPr>
        <w:t>（不包括颅骨钻孔手术和经鼻蝶窦入颅手术）</w:t>
      </w:r>
      <w:r w:rsidRPr="00FD5F2C">
        <w:rPr>
          <w:rFonts w:ascii="宋体" w:hAnsi="宋体" w:cs="Arial" w:hint="eastAsia"/>
          <w:snapToGrid w:val="0"/>
          <w:color w:val="000000"/>
        </w:rPr>
        <w:t>。</w:t>
      </w:r>
    </w:p>
    <w:p w14:paraId="3EBDBE71"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因外伤而实施的脑外科手术不在保障范围之内。</w:t>
      </w:r>
    </w:p>
    <w:p w14:paraId="103FC0BB"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理赔时必须提供由神经外科医生出具的诊断书及手术报告。</w:t>
      </w:r>
    </w:p>
    <w:p w14:paraId="78D18AF0"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lastRenderedPageBreak/>
        <w:t>严重自身免疫性肝炎</w:t>
      </w:r>
    </w:p>
    <w:p w14:paraId="19CC248F"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自身免疫性肝炎是一种原因不明的慢性肝脏的坏死性炎性疾病，机体免疫机制被破坏，产生针对肝脏自身抗原的抗体导致自身免疫反应，从而破坏肝细胞造成肝脏炎症坏死，进而发展为肝硬化。必须满足所有以下条件：</w:t>
      </w:r>
    </w:p>
    <w:p w14:paraId="47A32FBB"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．高γ球蛋白血症；</w:t>
      </w:r>
    </w:p>
    <w:p w14:paraId="5A6AF219"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．血液中存在高水平的自身免疫抗体，如</w:t>
      </w:r>
      <w:r>
        <w:rPr>
          <w:rFonts w:ascii="宋体" w:hAnsi="宋体"/>
          <w:snapToGrid w:val="0"/>
        </w:rPr>
        <w:t>ANA</w:t>
      </w:r>
      <w:r>
        <w:rPr>
          <w:rFonts w:ascii="宋体" w:hAnsi="宋体" w:hint="eastAsia"/>
          <w:snapToGrid w:val="0"/>
        </w:rPr>
        <w:t>（抗核抗体）、</w:t>
      </w:r>
      <w:r>
        <w:rPr>
          <w:rFonts w:ascii="宋体" w:hAnsi="宋体"/>
          <w:snapToGrid w:val="0"/>
        </w:rPr>
        <w:t>SMA</w:t>
      </w:r>
      <w:r>
        <w:rPr>
          <w:rFonts w:ascii="宋体" w:hAnsi="宋体" w:hint="eastAsia"/>
          <w:snapToGrid w:val="0"/>
        </w:rPr>
        <w:t>（抗平滑肌抗体）、抗</w:t>
      </w:r>
      <w:r>
        <w:rPr>
          <w:rFonts w:ascii="宋体" w:hAnsi="宋体"/>
          <w:snapToGrid w:val="0"/>
        </w:rPr>
        <w:t>LKM1</w:t>
      </w:r>
      <w:r>
        <w:rPr>
          <w:rFonts w:ascii="宋体" w:hAnsi="宋体" w:hint="eastAsia"/>
          <w:snapToGrid w:val="0"/>
        </w:rPr>
        <w:t>抗体或抗</w:t>
      </w:r>
      <w:r>
        <w:rPr>
          <w:rFonts w:ascii="宋体" w:hAnsi="宋体"/>
          <w:snapToGrid w:val="0"/>
        </w:rPr>
        <w:t>-SLA/LP</w:t>
      </w:r>
      <w:r>
        <w:rPr>
          <w:rFonts w:ascii="宋体" w:hAnsi="宋体" w:hint="eastAsia"/>
          <w:snapToGrid w:val="0"/>
        </w:rPr>
        <w:t>抗体；</w:t>
      </w:r>
    </w:p>
    <w:p w14:paraId="53D688C4"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．肝脏活检证实免疫性肝炎；</w:t>
      </w:r>
    </w:p>
    <w:p w14:paraId="68499F51" w14:textId="77777777" w:rsidR="008F265F" w:rsidRDefault="00A542E4">
      <w:pPr>
        <w:ind w:firstLine="420"/>
        <w:rPr>
          <w:rFonts w:ascii="宋体" w:hAnsi="宋体"/>
          <w:snapToGrid w:val="0"/>
        </w:rPr>
      </w:pPr>
      <w:r>
        <w:rPr>
          <w:rFonts w:ascii="宋体" w:hAnsi="宋体"/>
          <w:snapToGrid w:val="0"/>
        </w:rPr>
        <w:t>4</w:t>
      </w:r>
      <w:r>
        <w:rPr>
          <w:rFonts w:ascii="宋体" w:hAnsi="宋体" w:hint="eastAsia"/>
          <w:snapToGrid w:val="0"/>
        </w:rPr>
        <w:t>．临床已经出现腹水、食道静脉曲张和脾肿大等肝硬化表现。</w:t>
      </w:r>
    </w:p>
    <w:p w14:paraId="6B71D7A4"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原发性骨髓纤维化</w:t>
      </w:r>
    </w:p>
    <w:p w14:paraId="096A9A07"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原发性骨髓纤维化为原因不明的骨髓中成纤维细胞增殖，伴有髓外造血，表现为进行性贫血、脾肿大等症状。本疾病须根据骨髓的活组织检查和周围血象检查由我们认可的医院血液科专科医生明确诊断，并至少符合下列条件中的三项，且符合条件的状态持续</w:t>
      </w:r>
      <w:r>
        <w:rPr>
          <w:rFonts w:ascii="宋体" w:hAnsi="宋体" w:cs="Arial"/>
          <w:snapToGrid w:val="0"/>
          <w:color w:val="000000"/>
        </w:rPr>
        <w:t>180</w:t>
      </w:r>
      <w:r>
        <w:rPr>
          <w:rFonts w:ascii="宋体" w:hAnsi="宋体" w:cs="Arial" w:hint="eastAsia"/>
          <w:snapToGrid w:val="0"/>
          <w:color w:val="000000"/>
        </w:rPr>
        <w:t>天及以上，并已经实际实施了针对此症的治疗：</w:t>
      </w:r>
    </w:p>
    <w:p w14:paraId="59A3C44D"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．血红蛋白</w:t>
      </w:r>
      <w:r>
        <w:rPr>
          <w:rFonts w:ascii="宋体" w:hAnsi="宋体" w:cs="Arial" w:hint="eastAsia"/>
          <w:snapToGrid w:val="0"/>
          <w:color w:val="000000"/>
        </w:rPr>
        <w:t>＜</w:t>
      </w:r>
      <w:r>
        <w:rPr>
          <w:rFonts w:ascii="宋体" w:hAnsi="宋体"/>
          <w:snapToGrid w:val="0"/>
        </w:rPr>
        <w:t>100g/L</w:t>
      </w:r>
      <w:r>
        <w:rPr>
          <w:rFonts w:ascii="宋体" w:hAnsi="宋体" w:hint="eastAsia"/>
          <w:snapToGrid w:val="0"/>
        </w:rPr>
        <w:t>；</w:t>
      </w:r>
    </w:p>
    <w:p w14:paraId="7AAE9BEE"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．白细胞计数</w:t>
      </w:r>
      <w:r>
        <w:rPr>
          <w:rFonts w:ascii="宋体" w:hAnsi="宋体"/>
          <w:snapToGrid w:val="0"/>
        </w:rPr>
        <w:t>＞25</w:t>
      </w:r>
      <w:r>
        <w:rPr>
          <w:rFonts w:ascii="宋体" w:hAnsi="宋体" w:hint="eastAsia"/>
          <w:snapToGrid w:val="0"/>
        </w:rPr>
        <w:t>×</w:t>
      </w:r>
      <w:r>
        <w:rPr>
          <w:rFonts w:ascii="宋体" w:hAnsi="宋体"/>
          <w:snapToGrid w:val="0"/>
        </w:rPr>
        <w:t>10</w:t>
      </w:r>
      <w:r>
        <w:rPr>
          <w:rFonts w:ascii="宋体" w:hAnsi="宋体"/>
          <w:snapToGrid w:val="0"/>
          <w:vertAlign w:val="superscript"/>
        </w:rPr>
        <w:t>9</w:t>
      </w:r>
      <w:r>
        <w:rPr>
          <w:rFonts w:ascii="宋体" w:hAnsi="宋体"/>
          <w:snapToGrid w:val="0"/>
        </w:rPr>
        <w:t>/L</w:t>
      </w:r>
      <w:r>
        <w:rPr>
          <w:rFonts w:ascii="宋体" w:hAnsi="宋体" w:hint="eastAsia"/>
          <w:snapToGrid w:val="0"/>
        </w:rPr>
        <w:t>；</w:t>
      </w:r>
    </w:p>
    <w:p w14:paraId="17A0F120"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．外周血原始细胞≥</w:t>
      </w:r>
      <w:r>
        <w:rPr>
          <w:rFonts w:ascii="宋体" w:hAnsi="宋体"/>
          <w:snapToGrid w:val="0"/>
        </w:rPr>
        <w:t>1%</w:t>
      </w:r>
      <w:r>
        <w:rPr>
          <w:rFonts w:ascii="宋体" w:hAnsi="宋体" w:hint="eastAsia"/>
          <w:snapToGrid w:val="0"/>
        </w:rPr>
        <w:t>；</w:t>
      </w:r>
    </w:p>
    <w:p w14:paraId="144F0F40" w14:textId="77777777" w:rsidR="008F265F" w:rsidRDefault="00A542E4">
      <w:pPr>
        <w:ind w:firstLine="420"/>
        <w:rPr>
          <w:rFonts w:ascii="宋体" w:hAnsi="宋体"/>
          <w:snapToGrid w:val="0"/>
        </w:rPr>
      </w:pPr>
      <w:r>
        <w:rPr>
          <w:rFonts w:ascii="宋体" w:hAnsi="宋体"/>
          <w:snapToGrid w:val="0"/>
        </w:rPr>
        <w:t>4</w:t>
      </w:r>
      <w:r>
        <w:rPr>
          <w:rFonts w:ascii="宋体" w:hAnsi="宋体" w:hint="eastAsia"/>
          <w:snapToGrid w:val="0"/>
        </w:rPr>
        <w:t>．血小板计数</w:t>
      </w:r>
      <w:r>
        <w:rPr>
          <w:rFonts w:ascii="宋体" w:hAnsi="宋体" w:cs="Arial" w:hint="eastAsia"/>
          <w:snapToGrid w:val="0"/>
          <w:color w:val="000000"/>
        </w:rPr>
        <w:t>＜</w:t>
      </w:r>
      <w:r>
        <w:rPr>
          <w:rFonts w:ascii="宋体" w:hAnsi="宋体"/>
          <w:snapToGrid w:val="0"/>
        </w:rPr>
        <w:t>100</w:t>
      </w:r>
      <w:r>
        <w:rPr>
          <w:rFonts w:ascii="宋体" w:hAnsi="宋体" w:hint="eastAsia"/>
          <w:snapToGrid w:val="0"/>
        </w:rPr>
        <w:t>×</w:t>
      </w:r>
      <w:r>
        <w:rPr>
          <w:rFonts w:ascii="宋体" w:hAnsi="宋体"/>
          <w:snapToGrid w:val="0"/>
        </w:rPr>
        <w:t>10</w:t>
      </w:r>
      <w:r>
        <w:rPr>
          <w:rFonts w:ascii="宋体" w:hAnsi="宋体"/>
          <w:snapToGrid w:val="0"/>
          <w:vertAlign w:val="superscript"/>
        </w:rPr>
        <w:t>9</w:t>
      </w:r>
      <w:r>
        <w:rPr>
          <w:rFonts w:ascii="宋体" w:hAnsi="宋体"/>
          <w:snapToGrid w:val="0"/>
        </w:rPr>
        <w:t>/L</w:t>
      </w:r>
      <w:r>
        <w:rPr>
          <w:rFonts w:ascii="宋体" w:hAnsi="宋体" w:hint="eastAsia"/>
          <w:snapToGrid w:val="0"/>
        </w:rPr>
        <w:t>。</w:t>
      </w:r>
    </w:p>
    <w:p w14:paraId="3808CDB0"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任何其他病因导致的继发性骨髓纤维化不在保障范围内。</w:t>
      </w:r>
    </w:p>
    <w:p w14:paraId="44C79EB2"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肺泡蛋白沉积症</w:t>
      </w:r>
    </w:p>
    <w:p w14:paraId="391FF0A0"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lastRenderedPageBreak/>
        <w:t>指肺泡内充满主要含磷脂和蛋白质的过碘酸雪夫(Periodic acid-Schiff，PAS)染色阳性颗粒状物质的疾病，须满足下列全部条件：</w:t>
      </w:r>
    </w:p>
    <w:p w14:paraId="195EFB6D" w14:textId="77777777" w:rsidR="008F265F" w:rsidRDefault="00A542E4">
      <w:pPr>
        <w:ind w:firstLine="420"/>
        <w:rPr>
          <w:rFonts w:ascii="宋体" w:hAnsi="宋体"/>
          <w:snapToGrid w:val="0"/>
        </w:rPr>
      </w:pPr>
      <w:r>
        <w:rPr>
          <w:rFonts w:ascii="宋体" w:hAnsi="宋体" w:hint="eastAsia"/>
          <w:snapToGrid w:val="0"/>
        </w:rPr>
        <w:t>1．胸部CT呈双肺弥漫性磨玻璃影；</w:t>
      </w:r>
    </w:p>
    <w:p w14:paraId="6BE03B25" w14:textId="77777777" w:rsidR="008F265F" w:rsidRDefault="00A542E4">
      <w:pPr>
        <w:ind w:firstLine="420"/>
        <w:rPr>
          <w:rFonts w:ascii="宋体" w:hAnsi="宋体"/>
          <w:snapToGrid w:val="0"/>
        </w:rPr>
      </w:pPr>
      <w:r>
        <w:rPr>
          <w:rFonts w:ascii="宋体" w:hAnsi="宋体" w:hint="eastAsia"/>
          <w:snapToGrid w:val="0"/>
        </w:rPr>
        <w:t>2．病理学检查显示肺泡内充满PAS染色阳性的蛋白样物质；</w:t>
      </w:r>
    </w:p>
    <w:p w14:paraId="1449DD46" w14:textId="77777777" w:rsidR="008F265F" w:rsidRDefault="00A542E4">
      <w:pPr>
        <w:ind w:firstLine="420"/>
        <w:rPr>
          <w:rFonts w:ascii="宋体" w:hAnsi="宋体"/>
          <w:snapToGrid w:val="0"/>
        </w:rPr>
      </w:pPr>
      <w:r>
        <w:rPr>
          <w:rFonts w:ascii="宋体" w:hAnsi="宋体" w:hint="eastAsia"/>
          <w:snapToGrid w:val="0"/>
        </w:rPr>
        <w:t>3．实际实施了全肺灌洗治疗。</w:t>
      </w:r>
    </w:p>
    <w:p w14:paraId="70BA9062"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严重慢性缩窄性心包炎</w:t>
      </w:r>
    </w:p>
    <w:p w14:paraId="4041E428"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指由于慢性心包炎症导致心包脏层和壁层广泛瘢痕粘连、增厚和钙化，心包腔闭塞，形成一个纤维瘢痕外壳，使心脏和大血管根部受压，阻碍心脏的舒张。</w:t>
      </w:r>
    </w:p>
    <w:p w14:paraId="3ADAA361"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被保险人被明确诊断为慢性缩窄性心包炎且必须满足以下所有条件：</w:t>
      </w:r>
    </w:p>
    <w:p w14:paraId="70BA99B3"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．心功能衰竭达到美国纽约心脏病学会（New York Heart Association，NYHA）心功能状态分级</w:t>
      </w:r>
      <w:r>
        <w:rPr>
          <w:rFonts w:ascii="宋体" w:hAnsi="宋体" w:hint="eastAsia"/>
        </w:rPr>
        <w:t>Ⅳ</w:t>
      </w:r>
      <w:r>
        <w:rPr>
          <w:rFonts w:ascii="宋体" w:hAnsi="宋体" w:hint="eastAsia"/>
          <w:snapToGrid w:val="0"/>
        </w:rPr>
        <w:t>级，并持续</w:t>
      </w:r>
      <w:r>
        <w:rPr>
          <w:rFonts w:ascii="宋体" w:hAnsi="宋体"/>
          <w:snapToGrid w:val="0"/>
        </w:rPr>
        <w:t>180</w:t>
      </w:r>
      <w:r>
        <w:rPr>
          <w:rFonts w:ascii="宋体" w:hAnsi="宋体" w:hint="eastAsia"/>
          <w:snapToGrid w:val="0"/>
        </w:rPr>
        <w:t>天以上；</w:t>
      </w:r>
    </w:p>
    <w:p w14:paraId="41A76396"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．实际接</w:t>
      </w:r>
      <w:r>
        <w:rPr>
          <w:rFonts w:ascii="宋体" w:hAnsi="宋体"/>
          <w:snapToGrid w:val="0"/>
        </w:rPr>
        <w:t>受</w:t>
      </w:r>
      <w:r>
        <w:rPr>
          <w:rFonts w:ascii="宋体" w:hAnsi="宋体" w:hint="eastAsia"/>
          <w:snapToGrid w:val="0"/>
        </w:rPr>
        <w:t>了以下任何一种手术路径的心包剥脱或心包切除手术；手术路径：胸骨正中切口；双侧前胸切口；左前胸肋间切口。</w:t>
      </w:r>
    </w:p>
    <w:p w14:paraId="4DA43933" w14:textId="77777777" w:rsidR="008F265F" w:rsidRDefault="00A542E4">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FD5F2C">
        <w:rPr>
          <w:rFonts w:ascii="宋体" w:hAnsi="宋体" w:cs="Arial" w:hint="eastAsia"/>
          <w:snapToGrid w:val="0"/>
          <w:color w:val="000000"/>
          <w:shd w:val="pct15" w:color="auto" w:fill="FFFFFF"/>
        </w:rPr>
        <w:t>经胸腔镜、胸壁打孔进行的手术、心包粘连松解手术不在保障范围内。</w:t>
      </w:r>
    </w:p>
    <w:p w14:paraId="30332CD9"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脑型疟疾</w:t>
      </w:r>
    </w:p>
    <w:p w14:paraId="364C5A13" w14:textId="77777777" w:rsidR="008F265F" w:rsidRDefault="00A542E4">
      <w:pPr>
        <w:pStyle w:val="a4"/>
        <w:ind w:firstLineChars="202" w:firstLine="424"/>
        <w:rPr>
          <w:rFonts w:ascii="宋体" w:hAnsi="宋体"/>
          <w:snapToGrid w:val="0"/>
        </w:rPr>
      </w:pPr>
      <w:r>
        <w:rPr>
          <w:rFonts w:ascii="宋体" w:hAnsi="宋体" w:cs="Arial" w:hint="eastAsia"/>
          <w:snapToGrid w:val="0"/>
          <w:color w:val="000000"/>
        </w:rPr>
        <w:t>指恶性疟原虫感染导致的严重中枢神经系统感染，以谵妄和昏迷为主要症状。须相关专科医生明确诊断，</w:t>
      </w:r>
      <w:r>
        <w:rPr>
          <w:rFonts w:hint="eastAsia"/>
        </w:rPr>
        <w:t>且外周血涂片或骨髓涂片检查存在恶性疟原虫。</w:t>
      </w:r>
    </w:p>
    <w:p w14:paraId="2A284B31"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胆道重建手术</w:t>
      </w:r>
    </w:p>
    <w:p w14:paraId="66D96ACB"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指因疾病或意外伤害导致胆道损伤，实际实施了涉及胆总管小肠吻合术</w:t>
      </w:r>
      <w:r>
        <w:rPr>
          <w:rFonts w:ascii="宋体" w:hAnsi="宋体" w:cs="Arial" w:hint="eastAsia"/>
          <w:snapToGrid w:val="0"/>
          <w:color w:val="000000"/>
        </w:rPr>
        <w:lastRenderedPageBreak/>
        <w:t>的胆道重建手术。手术必须在相关专科医生认为是医疗所需的情况下进行。</w:t>
      </w:r>
    </w:p>
    <w:p w14:paraId="3DE2DF56"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胆道闭锁不在保障范围内。</w:t>
      </w:r>
    </w:p>
    <w:p w14:paraId="439ECE2B"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主动脉夹层瘤</w:t>
      </w:r>
    </w:p>
    <w:p w14:paraId="3E581EFD"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主动脉的内膜破裂导致血液流入主动脉壁中形成夹层动脉瘤。在本定义中，主动脉指胸主动脉及腹主动脉而非其旁支。诊断必须由专科医生及检验结果证实，检验包括电脑扫描，磁共振扫描及磁共振血管造影或心导管检查的证明，并有必要进行紧急修补手术。</w:t>
      </w:r>
    </w:p>
    <w:p w14:paraId="55A9A1CE"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肌萎缩脊髓侧索硬化后遗症</w:t>
      </w:r>
    </w:p>
    <w:p w14:paraId="67B14A21"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以肌肉无力及萎缩为特征，并有以下情况作为证明：脊髓前角细胞功能失调、可见的肌肉颤动、痉挛、过度活跃之深层肌腱反射和外部足底反射、影响皮质脊髓束、构音障碍及吞咽困难。必须由我们认可的医院的专科医生以适当的神经肌肉检查如肌电图（</w:t>
      </w:r>
      <w:r>
        <w:rPr>
          <w:rFonts w:ascii="宋体" w:hAnsi="宋体" w:cs="Arial"/>
          <w:snapToGrid w:val="0"/>
          <w:color w:val="000000"/>
        </w:rPr>
        <w:t>EMG</w:t>
      </w:r>
      <w:r>
        <w:rPr>
          <w:rFonts w:ascii="宋体" w:hAnsi="宋体" w:cs="Arial" w:hint="eastAsia"/>
          <w:snapToGrid w:val="0"/>
          <w:color w:val="000000"/>
        </w:rPr>
        <w:t>）证实。本疾病必须导致严重的生理功能损坏（由被保险人永久性无法独立完成最少</w:t>
      </w:r>
      <w:r>
        <w:rPr>
          <w:rFonts w:ascii="宋体" w:hAnsi="宋体" w:cs="Arial"/>
          <w:snapToGrid w:val="0"/>
          <w:color w:val="000000"/>
        </w:rPr>
        <w:t>3</w:t>
      </w:r>
      <w:r>
        <w:rPr>
          <w:rFonts w:ascii="宋体" w:hAnsi="宋体" w:cs="Arial" w:hint="eastAsia"/>
          <w:snapToGrid w:val="0"/>
          <w:color w:val="000000"/>
        </w:rPr>
        <w:t>项基本日常生活活动作为证明）。</w:t>
      </w:r>
    </w:p>
    <w:p w14:paraId="1775BC37"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严重结核性脑膜炎</w:t>
      </w:r>
    </w:p>
    <w:p w14:paraId="1AC256DC"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由结核杆菌引起的脑膜和脊膜的非化脓性炎症性疾病。需满足以下全部条件：</w:t>
      </w:r>
    </w:p>
    <w:p w14:paraId="2C8AF756"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．出现颅内压明显增高，表现头痛、呕吐和视乳头水肿；</w:t>
      </w:r>
    </w:p>
    <w:p w14:paraId="6A3F67AB"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．出现部分性、全身性癫痫发作或癫痫持续状态；</w:t>
      </w:r>
    </w:p>
    <w:p w14:paraId="1D790BA0"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．昏睡或意识模糊；</w:t>
      </w:r>
    </w:p>
    <w:p w14:paraId="47BFC04F" w14:textId="77777777" w:rsidR="008F265F" w:rsidRDefault="00A542E4">
      <w:pPr>
        <w:ind w:firstLine="420"/>
        <w:rPr>
          <w:rFonts w:ascii="宋体" w:hAnsi="宋体"/>
          <w:snapToGrid w:val="0"/>
        </w:rPr>
      </w:pPr>
      <w:r>
        <w:rPr>
          <w:rFonts w:ascii="宋体" w:hAnsi="宋体"/>
          <w:snapToGrid w:val="0"/>
        </w:rPr>
        <w:t>4</w:t>
      </w:r>
      <w:r>
        <w:rPr>
          <w:rFonts w:ascii="宋体" w:hAnsi="宋体" w:hint="eastAsia"/>
          <w:snapToGrid w:val="0"/>
        </w:rPr>
        <w:t>．视力减退、复视和面神经麻痹。</w:t>
      </w:r>
    </w:p>
    <w:p w14:paraId="22415F9B"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lastRenderedPageBreak/>
        <w:t>严重小肠损害并发症</w:t>
      </w:r>
    </w:p>
    <w:p w14:paraId="40FD8D08"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严重肠道疾病或意外伤害导致小肠损害，出现严重并发症，必须同时满足以下所有条件：</w:t>
      </w:r>
    </w:p>
    <w:p w14:paraId="5A184FEF" w14:textId="77777777" w:rsidR="008F265F" w:rsidRDefault="00A542E4">
      <w:pPr>
        <w:ind w:firstLine="420"/>
        <w:rPr>
          <w:rFonts w:ascii="宋体" w:hAnsi="宋体"/>
          <w:snapToGrid w:val="0"/>
        </w:rPr>
      </w:pPr>
      <w:r>
        <w:rPr>
          <w:rFonts w:ascii="宋体" w:hAnsi="宋体" w:hint="eastAsia"/>
          <w:snapToGrid w:val="0"/>
        </w:rPr>
        <w:t>1．至少切除小肠总长度的三分之二；</w:t>
      </w:r>
    </w:p>
    <w:p w14:paraId="71BF7078" w14:textId="77777777" w:rsidR="008F265F" w:rsidRDefault="00A542E4">
      <w:pPr>
        <w:ind w:firstLine="420"/>
        <w:rPr>
          <w:rFonts w:ascii="宋体" w:hAnsi="宋体"/>
          <w:snapToGrid w:val="0"/>
        </w:rPr>
      </w:pPr>
      <w:r>
        <w:rPr>
          <w:rFonts w:ascii="宋体" w:hAnsi="宋体" w:hint="eastAsia"/>
          <w:snapToGrid w:val="0"/>
        </w:rPr>
        <w:t>2．已经接受完全肠外营养支持治疗超过90天。</w:t>
      </w:r>
    </w:p>
    <w:p w14:paraId="584A93F8"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严重瑞氏综合征（Reye综合征）</w:t>
      </w:r>
    </w:p>
    <w:p w14:paraId="401B6BFB"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也称赖氏综合征、雷氏综合征，是线粒体功能障碍性疾病。导致脂肪代谢障碍，引起短链脂肪酸、血氨升高，造成脑水肿。主要临床表现为急性发热、反复呕吐、惊厥及意识障碍等。</w:t>
      </w:r>
    </w:p>
    <w:p w14:paraId="770A62AF"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肝脏活检是确诊的重要手段。瑞氏综合征需由相关专科医生确诊，并需满足下列全部条件：</w:t>
      </w:r>
    </w:p>
    <w:p w14:paraId="6478BFFE" w14:textId="77777777" w:rsidR="008F265F" w:rsidRDefault="00A542E4">
      <w:pPr>
        <w:ind w:firstLine="420"/>
        <w:rPr>
          <w:rFonts w:ascii="宋体" w:hAnsi="宋体"/>
          <w:snapToGrid w:val="0"/>
        </w:rPr>
      </w:pPr>
      <w:r>
        <w:rPr>
          <w:rFonts w:ascii="宋体" w:hAnsi="宋体" w:hint="eastAsia"/>
          <w:snapToGrid w:val="0"/>
        </w:rPr>
        <w:t>1．有脑水肿和颅内压升高的脑脊液检查和影像学检查证据；</w:t>
      </w:r>
    </w:p>
    <w:p w14:paraId="076A6D2F" w14:textId="77777777" w:rsidR="008F265F" w:rsidRDefault="00A542E4">
      <w:pPr>
        <w:ind w:firstLine="420"/>
        <w:rPr>
          <w:rFonts w:ascii="宋体" w:hAnsi="宋体"/>
          <w:snapToGrid w:val="0"/>
        </w:rPr>
      </w:pPr>
      <w:r>
        <w:rPr>
          <w:rFonts w:ascii="宋体" w:hAnsi="宋体" w:hint="eastAsia"/>
          <w:snapToGrid w:val="0"/>
        </w:rPr>
        <w:t>2．血氨达到该检验正常参考值上限的3倍（含）以上；</w:t>
      </w:r>
    </w:p>
    <w:p w14:paraId="18EB6BDC" w14:textId="77777777" w:rsidR="008F265F" w:rsidRDefault="00A542E4">
      <w:pPr>
        <w:ind w:firstLine="420"/>
        <w:rPr>
          <w:rFonts w:ascii="宋体" w:hAnsi="宋体"/>
          <w:snapToGrid w:val="0"/>
        </w:rPr>
      </w:pPr>
      <w:r>
        <w:rPr>
          <w:rFonts w:ascii="宋体" w:hAnsi="宋体" w:hint="eastAsia"/>
          <w:snapToGrid w:val="0"/>
        </w:rPr>
        <w:t>3．临床出现昏迷，病程至少达到疾病分期第3期。</w:t>
      </w:r>
    </w:p>
    <w:p w14:paraId="1A958AD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严重骨髓异常增生综合征</w:t>
      </w:r>
    </w:p>
    <w:p w14:paraId="75FC7BF3"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严重骨髓异常增生综合征是指符合世界卫生组织（</w:t>
      </w:r>
      <w:r>
        <w:rPr>
          <w:rFonts w:ascii="宋体" w:hAnsi="宋体" w:cs="Arial"/>
          <w:snapToGrid w:val="0"/>
          <w:color w:val="000000"/>
        </w:rPr>
        <w:t>WHO</w:t>
      </w:r>
      <w:r>
        <w:rPr>
          <w:rFonts w:ascii="宋体" w:hAnsi="宋体" w:cs="Arial" w:hint="eastAsia"/>
          <w:snapToGrid w:val="0"/>
          <w:color w:val="000000"/>
        </w:rPr>
        <w:t>）</w:t>
      </w:r>
      <w:r>
        <w:rPr>
          <w:rFonts w:ascii="宋体" w:hAnsi="宋体" w:cs="Arial"/>
          <w:snapToGrid w:val="0"/>
          <w:color w:val="000000"/>
        </w:rPr>
        <w:t>2008</w:t>
      </w:r>
      <w:r>
        <w:rPr>
          <w:rFonts w:ascii="宋体" w:hAnsi="宋体" w:cs="Arial" w:hint="eastAsia"/>
          <w:snapToGrid w:val="0"/>
          <w:color w:val="000000"/>
        </w:rPr>
        <w:t>年分型方案中的难治性贫血细胞减少伴原始细胞增多</w:t>
      </w:r>
      <w:r>
        <w:rPr>
          <w:rFonts w:ascii="宋体" w:hAnsi="宋体" w:cs="Arial"/>
          <w:snapToGrid w:val="0"/>
          <w:color w:val="000000"/>
        </w:rPr>
        <w:t>-1</w:t>
      </w:r>
      <w:r>
        <w:rPr>
          <w:rFonts w:ascii="宋体" w:hAnsi="宋体" w:cs="Arial" w:hint="eastAsia"/>
          <w:snapToGrid w:val="0"/>
          <w:color w:val="000000"/>
        </w:rPr>
        <w:t>（</w:t>
      </w:r>
      <w:r>
        <w:rPr>
          <w:rFonts w:ascii="宋体" w:hAnsi="宋体" w:cs="Arial"/>
          <w:snapToGrid w:val="0"/>
          <w:color w:val="000000"/>
        </w:rPr>
        <w:t>RAEB-1</w:t>
      </w:r>
      <w:r>
        <w:rPr>
          <w:rFonts w:ascii="宋体" w:hAnsi="宋体" w:cs="Arial" w:hint="eastAsia"/>
          <w:snapToGrid w:val="0"/>
          <w:color w:val="000000"/>
        </w:rPr>
        <w:t>）、难治性贫血细胞减少伴原始细胞增多</w:t>
      </w:r>
      <w:r>
        <w:rPr>
          <w:rFonts w:ascii="宋体" w:hAnsi="宋体" w:cs="Arial"/>
          <w:snapToGrid w:val="0"/>
          <w:color w:val="000000"/>
        </w:rPr>
        <w:t>-2</w:t>
      </w:r>
      <w:r>
        <w:rPr>
          <w:rFonts w:ascii="宋体" w:hAnsi="宋体" w:cs="Arial" w:hint="eastAsia"/>
          <w:snapToGrid w:val="0"/>
          <w:color w:val="000000"/>
        </w:rPr>
        <w:t>（</w:t>
      </w:r>
      <w:r>
        <w:rPr>
          <w:rFonts w:ascii="宋体" w:hAnsi="宋体" w:cs="Arial"/>
          <w:snapToGrid w:val="0"/>
          <w:color w:val="000000"/>
        </w:rPr>
        <w:t>RAEB-2</w:t>
      </w:r>
      <w:r>
        <w:rPr>
          <w:rFonts w:ascii="宋体" w:hAnsi="宋体" w:cs="Arial" w:hint="eastAsia"/>
          <w:snapToGrid w:val="0"/>
          <w:color w:val="000000"/>
        </w:rPr>
        <w:t>）、</w:t>
      </w:r>
      <w:r>
        <w:rPr>
          <w:rFonts w:ascii="宋体" w:hAnsi="宋体" w:cs="Arial"/>
          <w:snapToGrid w:val="0"/>
          <w:color w:val="000000"/>
        </w:rPr>
        <w:t>MDS-</w:t>
      </w:r>
      <w:r>
        <w:rPr>
          <w:rFonts w:ascii="宋体" w:hAnsi="宋体" w:cs="Arial" w:hint="eastAsia"/>
          <w:snapToGrid w:val="0"/>
          <w:color w:val="000000"/>
        </w:rPr>
        <w:t>未分类（</w:t>
      </w:r>
      <w:r>
        <w:rPr>
          <w:rFonts w:ascii="宋体" w:hAnsi="宋体" w:cs="Arial"/>
          <w:snapToGrid w:val="0"/>
          <w:color w:val="000000"/>
        </w:rPr>
        <w:t>MDS-U</w:t>
      </w:r>
      <w:r>
        <w:rPr>
          <w:rFonts w:ascii="宋体" w:hAnsi="宋体" w:cs="Arial" w:hint="eastAsia"/>
          <w:snapToGrid w:val="0"/>
          <w:color w:val="000000"/>
        </w:rPr>
        <w:t>）、</w:t>
      </w:r>
      <w:r>
        <w:rPr>
          <w:rFonts w:ascii="宋体" w:hAnsi="宋体" w:cs="Arial"/>
          <w:snapToGrid w:val="0"/>
          <w:color w:val="000000"/>
        </w:rPr>
        <w:t>MDS</w:t>
      </w:r>
      <w:r>
        <w:rPr>
          <w:rFonts w:ascii="宋体" w:hAnsi="宋体" w:cs="Arial" w:hint="eastAsia"/>
          <w:snapToGrid w:val="0"/>
          <w:color w:val="000000"/>
        </w:rPr>
        <w:t>伴单纯</w:t>
      </w:r>
      <w:r>
        <w:rPr>
          <w:rFonts w:ascii="宋体" w:hAnsi="宋体" w:cs="Arial"/>
          <w:snapToGrid w:val="0"/>
          <w:color w:val="000000"/>
        </w:rPr>
        <w:t>5q-</w:t>
      </w:r>
      <w:r>
        <w:rPr>
          <w:rFonts w:ascii="宋体" w:hAnsi="宋体" w:cs="Arial" w:hint="eastAsia"/>
          <w:snapToGrid w:val="0"/>
          <w:color w:val="000000"/>
        </w:rPr>
        <w:t>，且需满足下列所有条件：</w:t>
      </w:r>
    </w:p>
    <w:p w14:paraId="722C004D"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．由我们认可的医院中设有专门血液病专科的公立三级甲等医院，血液病专科的主治级别以上的医师确诊；</w:t>
      </w:r>
    </w:p>
    <w:p w14:paraId="1D1480E3" w14:textId="77777777" w:rsidR="008F265F" w:rsidRDefault="00A542E4">
      <w:pPr>
        <w:ind w:firstLine="420"/>
        <w:rPr>
          <w:rFonts w:ascii="宋体" w:hAnsi="宋体"/>
          <w:snapToGrid w:val="0"/>
        </w:rPr>
      </w:pPr>
      <w:r>
        <w:rPr>
          <w:rFonts w:ascii="宋体" w:hAnsi="宋体"/>
          <w:snapToGrid w:val="0"/>
        </w:rPr>
        <w:lastRenderedPageBreak/>
        <w:t>2</w:t>
      </w:r>
      <w:r>
        <w:rPr>
          <w:rFonts w:ascii="宋体" w:hAnsi="宋体" w:hint="eastAsia"/>
          <w:snapToGrid w:val="0"/>
        </w:rPr>
        <w:t>．骨髓穿刺或骨髓活检结果支持诊断；</w:t>
      </w:r>
    </w:p>
    <w:p w14:paraId="36A14222"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．被保险人已持续接受一个月以上的化疗或已接受骨髓移植治疗。</w:t>
      </w:r>
    </w:p>
    <w:p w14:paraId="6372D8A2"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严重面部烧伤</w:t>
      </w:r>
    </w:p>
    <w:p w14:paraId="47EDA73A"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指面部烧伤程度为Ⅲ度，且Ⅲ度烧伤的面积达到面部表面积的</w:t>
      </w:r>
      <w:r>
        <w:rPr>
          <w:rFonts w:ascii="宋体" w:hAnsi="宋体" w:cs="Arial"/>
          <w:snapToGrid w:val="0"/>
          <w:color w:val="000000"/>
        </w:rPr>
        <w:t>80%</w:t>
      </w:r>
      <w:r>
        <w:rPr>
          <w:rFonts w:ascii="宋体" w:hAnsi="宋体" w:cs="Arial" w:hint="eastAsia"/>
          <w:snapToGrid w:val="0"/>
          <w:color w:val="000000"/>
        </w:rPr>
        <w:t>或</w:t>
      </w:r>
      <w:r>
        <w:rPr>
          <w:rFonts w:ascii="宋体" w:hAnsi="宋体" w:cs="Arial"/>
          <w:snapToGrid w:val="0"/>
          <w:color w:val="000000"/>
        </w:rPr>
        <w:t>80%</w:t>
      </w:r>
      <w:r>
        <w:rPr>
          <w:rFonts w:ascii="宋体" w:hAnsi="宋体" w:cs="Arial" w:hint="eastAsia"/>
          <w:snapToGrid w:val="0"/>
          <w:color w:val="000000"/>
        </w:rPr>
        <w:t>以上。</w:t>
      </w:r>
    </w:p>
    <w:p w14:paraId="033536E3"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严重川崎病</w:t>
      </w:r>
    </w:p>
    <w:p w14:paraId="2B875BA3"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是一种血管炎综合征，临床表现为急性发热，皮肤粘膜病损和淋巴结肿大。本病须经专科医生明确诊断，同时须由血管造影或超声心动图检查证实，满足下列至少一项条件：</w:t>
      </w:r>
    </w:p>
    <w:p w14:paraId="02D34666"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．伴有冠状动脉瘤，且冠状动脉瘤于最初急性发病后持续至少</w:t>
      </w:r>
      <w:r>
        <w:rPr>
          <w:rFonts w:ascii="宋体" w:hAnsi="宋体"/>
          <w:snapToGrid w:val="0"/>
        </w:rPr>
        <w:t>180</w:t>
      </w:r>
      <w:r>
        <w:rPr>
          <w:rFonts w:ascii="宋体" w:hAnsi="宋体" w:hint="eastAsia"/>
          <w:snapToGrid w:val="0"/>
        </w:rPr>
        <w:t>天；</w:t>
      </w:r>
    </w:p>
    <w:p w14:paraId="7E407AC9"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．伴有冠状动脉瘤，且实际接受了对冠状动脉瘤进行的手术治疗。</w:t>
      </w:r>
    </w:p>
    <w:p w14:paraId="0AB37905"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重症手足口病</w:t>
      </w:r>
    </w:p>
    <w:p w14:paraId="223672EF"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由肠道病毒引起的急性传染病，主要症状表现为手、足、口腔等部位的斑丘疹、疱疹。经我们认可的医院的专科医生确诊为患有手足口病，并伴有下列三项中的任意一项并发症：</w:t>
      </w:r>
    </w:p>
    <w:p w14:paraId="1DE4048E"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．有脑膜炎或脑炎并发症，且导致意识障碍或瘫痪的临床表现及实验室检查证据；</w:t>
      </w:r>
    </w:p>
    <w:p w14:paraId="4F8F8B3C"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．有肺炎或肺水肿并发症，且导致呼吸衰竭的临床表现及实验室检查证据；</w:t>
      </w:r>
    </w:p>
    <w:p w14:paraId="50DD59DB"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．有心肌炎并发症，且导致心脏扩大或心力衰竭的临床表现及实验室检查证据。</w:t>
      </w:r>
    </w:p>
    <w:p w14:paraId="56CD1753"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lastRenderedPageBreak/>
        <w:t>严重哮喘</w:t>
      </w:r>
    </w:p>
    <w:p w14:paraId="1504B328"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指一种反复发作的严重支气管阻塞性疾病，经我们认可的专科医生确诊，且必须同时符合下列全部标准：</w:t>
      </w:r>
    </w:p>
    <w:p w14:paraId="7059BD80"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．过去两年中曾因哮喘持续状态住院治疗，并提供完整住院记录；</w:t>
      </w:r>
    </w:p>
    <w:p w14:paraId="3DC7CBA4"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．因慢性过度换气导致胸廓畸形；</w:t>
      </w:r>
    </w:p>
    <w:p w14:paraId="34DC1B09"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．在家中需要医生处方的氧气治疗法；</w:t>
      </w:r>
    </w:p>
    <w:p w14:paraId="7B05F48B" w14:textId="77777777" w:rsidR="008F265F" w:rsidRDefault="00A542E4">
      <w:pPr>
        <w:ind w:firstLine="420"/>
        <w:rPr>
          <w:rFonts w:ascii="宋体" w:hAnsi="宋体"/>
          <w:snapToGrid w:val="0"/>
        </w:rPr>
      </w:pPr>
      <w:r>
        <w:rPr>
          <w:rFonts w:ascii="宋体" w:hAnsi="宋体"/>
          <w:snapToGrid w:val="0"/>
        </w:rPr>
        <w:t>4</w:t>
      </w:r>
      <w:r>
        <w:rPr>
          <w:rFonts w:ascii="宋体" w:hAnsi="宋体" w:hint="eastAsia"/>
          <w:snapToGrid w:val="0"/>
        </w:rPr>
        <w:t>．持续日常服用口服类固醇激素治疗持续至少1</w:t>
      </w:r>
      <w:r>
        <w:rPr>
          <w:rFonts w:ascii="宋体" w:hAnsi="宋体"/>
          <w:snapToGrid w:val="0"/>
        </w:rPr>
        <w:t>80</w:t>
      </w:r>
      <w:r>
        <w:rPr>
          <w:rFonts w:ascii="宋体" w:hAnsi="宋体" w:hint="eastAsia"/>
          <w:snapToGrid w:val="0"/>
        </w:rPr>
        <w:t>天。</w:t>
      </w:r>
    </w:p>
    <w:p w14:paraId="2E837541"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骨生长不全症</w:t>
      </w:r>
    </w:p>
    <w:p w14:paraId="043602BA"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指一种胶原病，特征为骨易碎，骨质疏松和易骨折。该病有</w:t>
      </w:r>
      <w:r>
        <w:rPr>
          <w:rFonts w:ascii="宋体" w:hAnsi="宋体" w:cs="Arial"/>
          <w:snapToGrid w:val="0"/>
          <w:color w:val="000000"/>
        </w:rPr>
        <w:t>4</w:t>
      </w:r>
      <w:r>
        <w:rPr>
          <w:rFonts w:ascii="宋体" w:hAnsi="宋体" w:cs="Arial" w:hint="eastAsia"/>
          <w:snapToGrid w:val="0"/>
          <w:color w:val="000000"/>
        </w:rPr>
        <w:t>种类型：</w:t>
      </w:r>
      <w:r>
        <w:rPr>
          <w:rFonts w:ascii="宋体" w:hAnsi="宋体" w:hint="eastAsia"/>
          <w:snapToGrid w:val="0"/>
          <w:color w:val="000000"/>
        </w:rPr>
        <w:t>Ⅰ</w:t>
      </w:r>
      <w:r>
        <w:rPr>
          <w:rFonts w:ascii="宋体" w:hAnsi="宋体" w:cs="Arial" w:hint="eastAsia"/>
          <w:snapToGrid w:val="0"/>
          <w:color w:val="000000"/>
        </w:rPr>
        <w:t>型、</w:t>
      </w:r>
      <w:r>
        <w:rPr>
          <w:rFonts w:ascii="宋体" w:hAnsi="宋体" w:hint="eastAsia"/>
          <w:snapToGrid w:val="0"/>
          <w:color w:val="000000"/>
        </w:rPr>
        <w:t>Ⅱ</w:t>
      </w:r>
      <w:r>
        <w:rPr>
          <w:rFonts w:ascii="宋体" w:hAnsi="宋体" w:cs="Arial" w:hint="eastAsia"/>
          <w:snapToGrid w:val="0"/>
          <w:color w:val="000000"/>
        </w:rPr>
        <w:t>型、</w:t>
      </w:r>
      <w:r>
        <w:rPr>
          <w:rFonts w:ascii="宋体" w:hAnsi="宋体" w:hint="eastAsia"/>
          <w:snapToGrid w:val="0"/>
          <w:color w:val="000000"/>
        </w:rPr>
        <w:t>Ⅲ</w:t>
      </w:r>
      <w:r>
        <w:rPr>
          <w:rFonts w:ascii="宋体" w:hAnsi="宋体" w:cs="Arial" w:hint="eastAsia"/>
          <w:snapToGrid w:val="0"/>
          <w:color w:val="000000"/>
        </w:rPr>
        <w:t>型、</w:t>
      </w:r>
      <w:r>
        <w:rPr>
          <w:rFonts w:ascii="宋体" w:hAnsi="宋体" w:hint="eastAsia"/>
          <w:snapToGrid w:val="0"/>
          <w:color w:val="000000"/>
        </w:rPr>
        <w:t>Ⅳ</w:t>
      </w:r>
      <w:r>
        <w:rPr>
          <w:rFonts w:ascii="宋体" w:hAnsi="宋体" w:cs="Arial" w:hint="eastAsia"/>
          <w:snapToGrid w:val="0"/>
          <w:color w:val="000000"/>
        </w:rPr>
        <w:t>型。</w:t>
      </w:r>
      <w:r w:rsidRPr="00FD5F2C">
        <w:rPr>
          <w:rFonts w:ascii="宋体" w:hAnsi="宋体" w:cs="Arial" w:hint="eastAsia"/>
          <w:snapToGrid w:val="0"/>
          <w:color w:val="000000"/>
          <w:shd w:val="pct15" w:color="auto" w:fill="FFFFFF"/>
        </w:rPr>
        <w:t>只保障</w:t>
      </w:r>
      <w:r w:rsidRPr="00FD5F2C">
        <w:rPr>
          <w:rFonts w:ascii="宋体" w:hAnsi="宋体" w:hint="eastAsia"/>
          <w:snapToGrid w:val="0"/>
          <w:color w:val="000000"/>
          <w:shd w:val="pct15" w:color="auto" w:fill="FFFFFF"/>
        </w:rPr>
        <w:t>Ⅲ</w:t>
      </w:r>
      <w:r w:rsidRPr="00FD5F2C">
        <w:rPr>
          <w:rFonts w:ascii="宋体" w:hAnsi="宋体" w:cs="Arial" w:hint="eastAsia"/>
          <w:snapToGrid w:val="0"/>
          <w:color w:val="000000"/>
          <w:shd w:val="pct15" w:color="auto" w:fill="FFFFFF"/>
        </w:rPr>
        <w:t>型成骨不全的情形。</w:t>
      </w:r>
      <w:r>
        <w:rPr>
          <w:rFonts w:ascii="宋体" w:hAnsi="宋体" w:cs="Arial" w:hint="eastAsia"/>
          <w:snapToGrid w:val="0"/>
          <w:color w:val="000000"/>
        </w:rPr>
        <w:t>其主要临床特点有：发展迟缓、多发性骨折、进行性脊柱后侧凸及听力损害。</w:t>
      </w:r>
      <w:r>
        <w:rPr>
          <w:rFonts w:ascii="宋体" w:hAnsi="宋体" w:hint="eastAsia"/>
          <w:snapToGrid w:val="0"/>
          <w:color w:val="000000"/>
        </w:rPr>
        <w:t>Ⅲ</w:t>
      </w:r>
      <w:r>
        <w:rPr>
          <w:rFonts w:ascii="宋体" w:hAnsi="宋体" w:cs="Arial" w:hint="eastAsia"/>
          <w:snapToGrid w:val="0"/>
          <w:color w:val="000000"/>
        </w:rPr>
        <w:t>型成骨不全的诊断必须根据身体检查，家族史，</w:t>
      </w:r>
      <w:r>
        <w:rPr>
          <w:rFonts w:ascii="宋体" w:hAnsi="宋体" w:cs="Arial"/>
          <w:snapToGrid w:val="0"/>
          <w:color w:val="000000"/>
        </w:rPr>
        <w:t>X</w:t>
      </w:r>
      <w:r>
        <w:rPr>
          <w:rFonts w:ascii="宋体" w:hAnsi="宋体" w:cs="Arial" w:hint="eastAsia"/>
          <w:snapToGrid w:val="0"/>
          <w:color w:val="000000"/>
        </w:rPr>
        <w:t>线检查和皮肤活检报告资料确诊。</w:t>
      </w:r>
    </w:p>
    <w:p w14:paraId="27135152"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我们承担本项疾病责任不受本主险合同责任免除中“遗传性疾病，先天性畸形、变形或染色体异常”的限制。</w:t>
      </w:r>
    </w:p>
    <w:p w14:paraId="2B236FA9"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器官移植导致的</w:t>
      </w:r>
      <w:r>
        <w:rPr>
          <w:rFonts w:ascii="宋体" w:hAnsi="宋体" w:cs="Arial"/>
          <w:snapToGrid w:val="0"/>
          <w:color w:val="000000"/>
        </w:rPr>
        <w:t>HIV</w:t>
      </w:r>
      <w:r>
        <w:rPr>
          <w:rFonts w:ascii="宋体" w:hAnsi="宋体" w:cs="Arial" w:hint="eastAsia"/>
          <w:snapToGrid w:val="0"/>
          <w:color w:val="000000"/>
        </w:rPr>
        <w:t>感染</w:t>
      </w:r>
    </w:p>
    <w:p w14:paraId="097F7B11"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指因进行器官移植而感染上人类免疫缺陷病毒（</w:t>
      </w:r>
      <w:r>
        <w:rPr>
          <w:rFonts w:ascii="宋体" w:hAnsi="宋体" w:cs="Arial"/>
          <w:snapToGrid w:val="0"/>
          <w:color w:val="000000"/>
        </w:rPr>
        <w:t>HIV</w:t>
      </w:r>
      <w:r>
        <w:rPr>
          <w:rFonts w:ascii="宋体" w:hAnsi="宋体" w:cs="Arial" w:hint="eastAsia"/>
          <w:snapToGrid w:val="0"/>
          <w:color w:val="000000"/>
        </w:rPr>
        <w:t>），且须满足下列全部条件：</w:t>
      </w:r>
    </w:p>
    <w:p w14:paraId="7AA0F864"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．被保险人因治疗必需而实施器官移植，并且因器官移植而感染人类免疫缺陷病毒（</w:t>
      </w:r>
      <w:r>
        <w:rPr>
          <w:rFonts w:ascii="宋体" w:hAnsi="宋体"/>
          <w:snapToGrid w:val="0"/>
        </w:rPr>
        <w:t>HIV</w:t>
      </w:r>
      <w:r>
        <w:rPr>
          <w:rFonts w:ascii="宋体" w:hAnsi="宋体" w:hint="eastAsia"/>
          <w:snapToGrid w:val="0"/>
        </w:rPr>
        <w:t>）；</w:t>
      </w:r>
    </w:p>
    <w:p w14:paraId="0C65FD88" w14:textId="77777777" w:rsidR="008F265F" w:rsidRDefault="00A542E4">
      <w:pPr>
        <w:autoSpaceDE w:val="0"/>
        <w:autoSpaceDN w:val="0"/>
        <w:adjustRightInd w:val="0"/>
        <w:ind w:firstLineChars="200" w:firstLine="420"/>
        <w:rPr>
          <w:rFonts w:ascii="宋体" w:hAnsi="宋体"/>
          <w:snapToGrid w:val="0"/>
        </w:rPr>
      </w:pPr>
      <w:r>
        <w:rPr>
          <w:rFonts w:ascii="宋体" w:hAnsi="宋体"/>
          <w:snapToGrid w:val="0"/>
        </w:rPr>
        <w:t>2</w:t>
      </w:r>
      <w:r>
        <w:rPr>
          <w:rFonts w:ascii="宋体" w:hAnsi="宋体" w:hint="eastAsia"/>
          <w:snapToGrid w:val="0"/>
        </w:rPr>
        <w:t>．提供器官移植治疗的器官移植中心或医院出具该项器官移植感染，属于医疗责任事故的报告，或者法院终审裁定为医疗责任并且不准上诉；</w:t>
      </w:r>
    </w:p>
    <w:p w14:paraId="3FBBFEC8" w14:textId="77777777" w:rsidR="008F265F" w:rsidRDefault="00A542E4">
      <w:pPr>
        <w:ind w:firstLine="420"/>
        <w:rPr>
          <w:rFonts w:ascii="宋体" w:hAnsi="宋体"/>
          <w:snapToGrid w:val="0"/>
        </w:rPr>
      </w:pPr>
      <w:r>
        <w:rPr>
          <w:rFonts w:ascii="宋体" w:hAnsi="宋体"/>
          <w:snapToGrid w:val="0"/>
        </w:rPr>
        <w:lastRenderedPageBreak/>
        <w:t>3</w:t>
      </w:r>
      <w:r>
        <w:rPr>
          <w:rFonts w:ascii="宋体" w:hAnsi="宋体" w:hint="eastAsia"/>
          <w:snapToGrid w:val="0"/>
        </w:rPr>
        <w:t>．提供器官移植治疗的器官移植中心或医院必须拥有合法经营执照。</w:t>
      </w:r>
    </w:p>
    <w:p w14:paraId="2A2A1739"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在任何治愈艾滋病或阻止人类免疫缺陷病毒（</w:t>
      </w:r>
      <w:r w:rsidRPr="00FD5F2C">
        <w:rPr>
          <w:rFonts w:ascii="宋体" w:hAnsi="宋体" w:cs="Arial"/>
          <w:snapToGrid w:val="0"/>
          <w:color w:val="000000"/>
          <w:shd w:val="pct15" w:color="auto" w:fill="FFFFFF"/>
        </w:rPr>
        <w:t>HIV</w:t>
      </w:r>
      <w:r w:rsidRPr="00FD5F2C">
        <w:rPr>
          <w:rFonts w:ascii="宋体" w:hAnsi="宋体" w:cs="Arial" w:hint="eastAsia"/>
          <w:snapToGrid w:val="0"/>
          <w:color w:val="000000"/>
          <w:shd w:val="pct15" w:color="auto" w:fill="FFFFFF"/>
        </w:rPr>
        <w:t>）病毒作用的疗法被发现以后，或能防止艾滋病发生的医疗方法被研究出来以后，本保障将不再予以赔付。</w:t>
      </w:r>
    </w:p>
    <w:p w14:paraId="2BC9B402"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我们承担本项疾病责任不受本主险合同责任免除中“被保险人感染艾滋病病毒或患艾滋病”的限制。</w:t>
      </w:r>
    </w:p>
    <w:p w14:paraId="740B8372"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进行性多灶性白质脑病</w:t>
      </w:r>
    </w:p>
    <w:p w14:paraId="78BE9AA1"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是一种亚急性脱髓鞘性脑病，常常发现于免疫缺陷的病人。必须由神经科专科医生根据脑组织活检确诊。</w:t>
      </w:r>
    </w:p>
    <w:p w14:paraId="433F1A2F"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严重脊髓小脑共济失调/脊髓小脑变性症——</w:t>
      </w:r>
      <w:r w:rsidRPr="00FD5F2C">
        <w:rPr>
          <w:rFonts w:ascii="宋体" w:hAnsi="宋体" w:cs="Arial" w:hint="eastAsia"/>
          <w:snapToGrid w:val="0"/>
          <w:color w:val="000000"/>
          <w:shd w:val="pct15" w:color="auto" w:fill="FFFFFF"/>
        </w:rPr>
        <w:t>二十二周岁前理赔</w:t>
      </w:r>
    </w:p>
    <w:p w14:paraId="66DC551D"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指一组以小脑萎缩和共济失调为主要临床特点的疾病。必须符合以下所有条件：</w:t>
      </w:r>
    </w:p>
    <w:p w14:paraId="2DBA23C9" w14:textId="77777777" w:rsidR="008F265F" w:rsidRDefault="00A542E4">
      <w:pPr>
        <w:ind w:firstLine="420"/>
        <w:rPr>
          <w:rFonts w:ascii="宋体" w:hAnsi="宋体"/>
          <w:snapToGrid w:val="0"/>
        </w:rPr>
      </w:pPr>
      <w:r>
        <w:rPr>
          <w:rFonts w:ascii="宋体" w:hAnsi="宋体" w:hint="eastAsia"/>
          <w:snapToGrid w:val="0"/>
        </w:rPr>
        <w:t>1.脑部核磁共振成像（MRI）确诊小脑及脑干萎缩；</w:t>
      </w:r>
    </w:p>
    <w:p w14:paraId="58FB9F39" w14:textId="77777777" w:rsidR="008F265F" w:rsidRDefault="00A542E4">
      <w:pPr>
        <w:ind w:firstLine="420"/>
        <w:rPr>
          <w:rFonts w:ascii="宋体" w:hAnsi="宋体"/>
          <w:snapToGrid w:val="0"/>
        </w:rPr>
      </w:pPr>
      <w:r>
        <w:rPr>
          <w:rFonts w:ascii="宋体" w:hAnsi="宋体" w:hint="eastAsia"/>
          <w:snapToGrid w:val="0"/>
        </w:rPr>
        <w:t>2.基因检测确定致病基因AXTN基因编码序列重复数大于等于52次；</w:t>
      </w:r>
    </w:p>
    <w:p w14:paraId="4818394E" w14:textId="77777777" w:rsidR="008F265F" w:rsidRDefault="00A542E4">
      <w:pPr>
        <w:ind w:firstLine="420"/>
        <w:rPr>
          <w:rFonts w:ascii="宋体" w:hAnsi="宋体"/>
          <w:snapToGrid w:val="0"/>
        </w:rPr>
      </w:pPr>
      <w:r>
        <w:rPr>
          <w:rFonts w:ascii="宋体" w:hAnsi="宋体" w:hint="eastAsia"/>
          <w:snapToGrid w:val="0"/>
        </w:rPr>
        <w:t>3.排除其他神经疾病；</w:t>
      </w:r>
    </w:p>
    <w:p w14:paraId="645B38E1" w14:textId="77777777" w:rsidR="008F265F" w:rsidRDefault="00A542E4">
      <w:pPr>
        <w:ind w:firstLine="420"/>
        <w:rPr>
          <w:rFonts w:ascii="宋体" w:hAnsi="宋体"/>
          <w:snapToGrid w:val="0"/>
        </w:rPr>
      </w:pPr>
      <w:r>
        <w:rPr>
          <w:rFonts w:ascii="宋体" w:hAnsi="宋体" w:hint="eastAsia"/>
          <w:snapToGrid w:val="0"/>
        </w:rPr>
        <w:t>4.存在自主生活能力完全丧失，无法独立完成六项基本日常生活活动中的三项或三项以上。</w:t>
      </w:r>
    </w:p>
    <w:p w14:paraId="1AA1FDE3" w14:textId="77777777" w:rsidR="008F265F" w:rsidRPr="00FD5F2C" w:rsidRDefault="00A542E4">
      <w:pPr>
        <w:autoSpaceDE w:val="0"/>
        <w:autoSpaceDN w:val="0"/>
        <w:adjustRightInd w:val="0"/>
        <w:spacing w:beforeLines="50" w:before="156"/>
        <w:ind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被保险人确诊时年龄必须在二十二周岁（含）以下。</w:t>
      </w:r>
    </w:p>
    <w:p w14:paraId="5395A164"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严重强直性脊柱炎</w:t>
      </w:r>
    </w:p>
    <w:p w14:paraId="2E5D4E73"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lastRenderedPageBreak/>
        <w:t>强直性脊柱炎指一种慢性、全身性、炎性疾病，主要侵犯脊柱导致脊柱畸形。强直性脊柱炎须经我们认可的医院的专科医生明确诊断，并须满足下列全部条件：</w:t>
      </w:r>
    </w:p>
    <w:p w14:paraId="4C975271" w14:textId="77777777" w:rsidR="008F265F" w:rsidRDefault="00A542E4">
      <w:pPr>
        <w:ind w:firstLine="420"/>
        <w:rPr>
          <w:rFonts w:ascii="宋体" w:hAnsi="宋体"/>
          <w:snapToGrid w:val="0"/>
        </w:rPr>
      </w:pPr>
      <w:r>
        <w:rPr>
          <w:rFonts w:ascii="宋体" w:hAnsi="宋体" w:hint="eastAsia"/>
          <w:snapToGrid w:val="0"/>
        </w:rPr>
        <w:t>1.严重脊柱畸形；</w:t>
      </w:r>
    </w:p>
    <w:p w14:paraId="64428986" w14:textId="77777777" w:rsidR="008F265F" w:rsidRDefault="00A542E4">
      <w:pPr>
        <w:autoSpaceDE w:val="0"/>
        <w:autoSpaceDN w:val="0"/>
        <w:adjustRightInd w:val="0"/>
        <w:ind w:firstLine="420"/>
        <w:rPr>
          <w:rFonts w:ascii="宋体" w:hAnsi="宋体" w:cs="Arial"/>
          <w:snapToGrid w:val="0"/>
          <w:color w:val="000000"/>
        </w:rPr>
      </w:pPr>
      <w:r>
        <w:rPr>
          <w:rFonts w:ascii="宋体" w:hAnsi="宋体" w:hint="eastAsia"/>
          <w:snapToGrid w:val="0"/>
        </w:rPr>
        <w:t>2.自主生活能力完全丧失，无法独立完成六项基本日常生活活动中的三项或三项以上。</w:t>
      </w:r>
    </w:p>
    <w:p w14:paraId="67A2B6A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多处臂丛神经根性撕脱</w:t>
      </w:r>
    </w:p>
    <w:p w14:paraId="6846818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由于疾病或意外导致至少两根臂丛神经根性撕脱，所造成的手臂感觉功能与运动功能完全永久性丧失。该病须由医院专科医生明确诊断，并且有电生理检查结果证实。</w:t>
      </w:r>
    </w:p>
    <w:p w14:paraId="73E510B4"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艾森门格综合征</w:t>
      </w:r>
    </w:p>
    <w:p w14:paraId="35BECDB7"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因心脏病导致的严重肺动脉高压及右向左分流。诊断必须由心脏专科医生经超声心动图和心导管检查证实及需符合以下所有标准：</w:t>
      </w:r>
    </w:p>
    <w:p w14:paraId="73E6B6ED"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．平均肺动脉压高于</w:t>
      </w:r>
      <w:r>
        <w:rPr>
          <w:rFonts w:ascii="宋体" w:hAnsi="宋体"/>
          <w:snapToGrid w:val="0"/>
        </w:rPr>
        <w:t>40mmHg</w:t>
      </w:r>
      <w:r>
        <w:rPr>
          <w:rFonts w:ascii="宋体" w:hAnsi="宋体" w:hint="eastAsia"/>
          <w:snapToGrid w:val="0"/>
        </w:rPr>
        <w:t>；</w:t>
      </w:r>
    </w:p>
    <w:p w14:paraId="75048CF1"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．肺血管阻力高于</w:t>
      </w:r>
      <w:r>
        <w:rPr>
          <w:rFonts w:ascii="宋体" w:hAnsi="宋体"/>
          <w:snapToGrid w:val="0"/>
        </w:rPr>
        <w:t>3mm/L/min</w:t>
      </w:r>
      <w:r>
        <w:rPr>
          <w:rFonts w:ascii="宋体" w:hAnsi="宋体" w:hint="eastAsia"/>
          <w:snapToGrid w:val="0"/>
        </w:rPr>
        <w:t>（</w:t>
      </w:r>
      <w:r>
        <w:rPr>
          <w:rFonts w:ascii="宋体" w:hAnsi="宋体"/>
          <w:snapToGrid w:val="0"/>
        </w:rPr>
        <w:t>Wood</w:t>
      </w:r>
      <w:r>
        <w:rPr>
          <w:rFonts w:ascii="宋体" w:hAnsi="宋体" w:hint="eastAsia"/>
          <w:snapToGrid w:val="0"/>
        </w:rPr>
        <w:t>单位）；</w:t>
      </w:r>
    </w:p>
    <w:p w14:paraId="4A9FFAA7"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．正常肺微血管楔压低于</w:t>
      </w:r>
      <w:r>
        <w:rPr>
          <w:rFonts w:ascii="宋体" w:hAnsi="宋体"/>
          <w:snapToGrid w:val="0"/>
        </w:rPr>
        <w:t>15mmHg</w:t>
      </w:r>
      <w:r>
        <w:rPr>
          <w:rFonts w:ascii="宋体" w:hAnsi="宋体" w:hint="eastAsia"/>
          <w:snapToGrid w:val="0"/>
        </w:rPr>
        <w:t>。</w:t>
      </w:r>
    </w:p>
    <w:p w14:paraId="765FB14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我们承担本项疾病责任不受本主险合同责任免除中“遗传性疾病，先天性畸形、变形或染色体异常”的限制。</w:t>
      </w:r>
    </w:p>
    <w:p w14:paraId="5021F8F8"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细菌性脑脊髓膜炎</w:t>
      </w:r>
    </w:p>
    <w:p w14:paraId="425910D8"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指因脑膜炎双球菌感染引起脑脊髓膜化脓性病变，且导致永久性神经损害，持续</w:t>
      </w:r>
      <w:r>
        <w:rPr>
          <w:rFonts w:ascii="宋体" w:hAnsi="宋体" w:cs="Arial"/>
          <w:snapToGrid w:val="0"/>
          <w:color w:val="000000"/>
        </w:rPr>
        <w:t>180</w:t>
      </w:r>
      <w:r>
        <w:rPr>
          <w:rFonts w:ascii="宋体" w:hAnsi="宋体" w:cs="Arial" w:hint="eastAsia"/>
          <w:snapToGrid w:val="0"/>
          <w:color w:val="000000"/>
        </w:rPr>
        <w:t>天以上，并且脑脊液检查显示脑膜炎双球菌阳性。</w:t>
      </w:r>
    </w:p>
    <w:p w14:paraId="6DE804A2"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lastRenderedPageBreak/>
        <w:t>永久性神经损害是指由细菌性脑脊髓膜炎引起的耳聋、失明、动眼神经麻痹、瘫痪、脑积水、智力或性情中度以上的损害，且上述症状持续</w:t>
      </w:r>
      <w:r>
        <w:rPr>
          <w:rFonts w:ascii="宋体" w:hAnsi="宋体" w:cs="Arial"/>
          <w:snapToGrid w:val="0"/>
          <w:color w:val="000000"/>
        </w:rPr>
        <w:t>180</w:t>
      </w:r>
      <w:r>
        <w:rPr>
          <w:rFonts w:ascii="宋体" w:hAnsi="宋体" w:cs="Arial" w:hint="eastAsia"/>
          <w:snapToGrid w:val="0"/>
          <w:color w:val="000000"/>
        </w:rPr>
        <w:t>天以上仍无改善迹象。</w:t>
      </w:r>
    </w:p>
    <w:p w14:paraId="7906B6B4"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库鲁病</w:t>
      </w:r>
    </w:p>
    <w:p w14:paraId="119C2156"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指一种亚急性传染性朊蛋白病。临床表现为共济失调、震颤、不自主运动，在病程晚期出现进行性加重的痴呆，神经异常。该病必须由专科医生根据检测出的脑组织中的致病蛋白而明确诊断。</w:t>
      </w:r>
    </w:p>
    <w:p w14:paraId="2DB7A328"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疾病或外伤所致智力障碍</w:t>
      </w:r>
    </w:p>
    <w:p w14:paraId="78FAF0DF"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因严重头部创伤或疾病造成被保险人智力低常（智力低于常态）。根据智商（</w:t>
      </w:r>
      <w:r>
        <w:rPr>
          <w:rFonts w:ascii="宋体" w:hAnsi="宋体" w:cs="Arial"/>
          <w:snapToGrid w:val="0"/>
          <w:color w:val="000000"/>
        </w:rPr>
        <w:t>IQ</w:t>
      </w:r>
      <w:r>
        <w:rPr>
          <w:rFonts w:ascii="宋体" w:hAnsi="宋体" w:cs="Arial" w:hint="eastAsia"/>
          <w:snapToGrid w:val="0"/>
          <w:color w:val="000000"/>
        </w:rPr>
        <w:t>），智力低常分为轻度（IQ50-69）、中度（IQ35-49）、重度（IQ20-34）和极重度（</w:t>
      </w:r>
      <w:r>
        <w:rPr>
          <w:rFonts w:ascii="宋体" w:hAnsi="宋体" w:cs="Arial"/>
          <w:snapToGrid w:val="0"/>
          <w:color w:val="000000"/>
        </w:rPr>
        <w:t>IQ＜20</w:t>
      </w:r>
      <w:r>
        <w:rPr>
          <w:rFonts w:ascii="宋体" w:hAnsi="宋体" w:cs="Arial" w:hint="eastAsia"/>
          <w:snapToGrid w:val="0"/>
          <w:color w:val="000000"/>
        </w:rPr>
        <w:t>）。智商的检测必须由我们认可的专职心理测验工作者进行，心理测验工作者必须持有由心理测量专业委员会资格认定书。根据被保险人年龄采用对应的智力量表如韦克斯勒智力量表（儿童智力量表或成人智力量表）。必须满足下列全部条件：</w:t>
      </w:r>
    </w:p>
    <w:p w14:paraId="4DF795D2"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．造成被保险人智力低常（智力低于常态）的严重头部创伤或疾病（以入院日期为准）发生在被保险人</w:t>
      </w:r>
      <w:r>
        <w:rPr>
          <w:rFonts w:ascii="宋体" w:hAnsi="宋体"/>
          <w:snapToGrid w:val="0"/>
        </w:rPr>
        <w:t>6</w:t>
      </w:r>
      <w:r>
        <w:rPr>
          <w:rFonts w:ascii="宋体" w:hAnsi="宋体" w:hint="eastAsia"/>
          <w:snapToGrid w:val="0"/>
        </w:rPr>
        <w:t>周岁以后；</w:t>
      </w:r>
    </w:p>
    <w:p w14:paraId="2E3B680A"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．专科医师确诊被保险人由于严重头部创伤或疾病造成智力低常；</w:t>
      </w:r>
    </w:p>
    <w:p w14:paraId="38131DCD"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．专职合格心理检测工作者适时做的心理检测证实被保险人智力低常（轻度、中度、重度或极重度）；</w:t>
      </w:r>
    </w:p>
    <w:p w14:paraId="506B16F7" w14:textId="77777777" w:rsidR="008F265F" w:rsidRDefault="00A542E4">
      <w:pPr>
        <w:ind w:firstLine="420"/>
        <w:rPr>
          <w:rFonts w:ascii="宋体" w:hAnsi="宋体"/>
          <w:snapToGrid w:val="0"/>
        </w:rPr>
      </w:pPr>
      <w:r>
        <w:rPr>
          <w:rFonts w:ascii="宋体" w:hAnsi="宋体"/>
          <w:snapToGrid w:val="0"/>
        </w:rPr>
        <w:t>4</w:t>
      </w:r>
      <w:r>
        <w:rPr>
          <w:rFonts w:ascii="宋体" w:hAnsi="宋体" w:hint="eastAsia"/>
          <w:snapToGrid w:val="0"/>
        </w:rPr>
        <w:t>．被保险人的智力低常自确认日起持续</w:t>
      </w:r>
      <w:r>
        <w:rPr>
          <w:rFonts w:ascii="宋体" w:hAnsi="宋体"/>
          <w:snapToGrid w:val="0"/>
        </w:rPr>
        <w:t>180</w:t>
      </w:r>
      <w:r>
        <w:rPr>
          <w:rFonts w:ascii="宋体" w:hAnsi="宋体" w:hint="eastAsia"/>
          <w:snapToGrid w:val="0"/>
        </w:rPr>
        <w:t>天以上。</w:t>
      </w:r>
    </w:p>
    <w:p w14:paraId="375CE53C"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严重幼年型类风湿性关节炎</w:t>
      </w:r>
    </w:p>
    <w:p w14:paraId="01D31108"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lastRenderedPageBreak/>
        <w:t>指为了治疗幼年型类风湿性关节炎，实际实施了膝关节或髋关节置换手术。</w:t>
      </w:r>
    </w:p>
    <w:p w14:paraId="19411868"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幼年型类风湿性关节炎是一种儿童期发病的慢性关节炎，其特点为在高热和系统性病征出现数月后发生关节炎。须经专科医生确诊，并且实际实施了膝关节或髋关节置换手术。</w:t>
      </w:r>
    </w:p>
    <w:p w14:paraId="7151FF9C"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席汉氏综合征</w:t>
      </w:r>
    </w:p>
    <w:p w14:paraId="71C7EC7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指因产后大出血并发休克、全身循环衰竭、弥漫性血管内凝血导致脑垂体缺血坏死和垂体分泌激素不足，造成性腺、甲状腺、肾上腺皮质功能减退。必须满足下列所有条件：</w:t>
      </w:r>
    </w:p>
    <w:p w14:paraId="1DC8A279" w14:textId="77777777" w:rsidR="008F265F" w:rsidRDefault="00A542E4">
      <w:pPr>
        <w:ind w:firstLine="420"/>
        <w:rPr>
          <w:rFonts w:ascii="宋体" w:hAnsi="宋体"/>
          <w:snapToGrid w:val="0"/>
        </w:rPr>
      </w:pPr>
      <w:r>
        <w:rPr>
          <w:rFonts w:ascii="宋体" w:hAnsi="宋体" w:hint="eastAsia"/>
          <w:snapToGrid w:val="0"/>
        </w:rPr>
        <w:t>1．产后大出血休克病史；</w:t>
      </w:r>
    </w:p>
    <w:p w14:paraId="350DC9CF" w14:textId="77777777" w:rsidR="008F265F" w:rsidRDefault="00A542E4">
      <w:pPr>
        <w:ind w:firstLine="420"/>
        <w:rPr>
          <w:rFonts w:ascii="宋体" w:hAnsi="宋体"/>
          <w:snapToGrid w:val="0"/>
        </w:rPr>
      </w:pPr>
      <w:r>
        <w:rPr>
          <w:rFonts w:ascii="宋体" w:hAnsi="宋体" w:hint="eastAsia"/>
          <w:snapToGrid w:val="0"/>
        </w:rPr>
        <w:t>2．严重腺垂体功能破坏，破坏程度＞</w:t>
      </w:r>
      <w:r>
        <w:rPr>
          <w:rFonts w:ascii="宋体" w:hAnsi="宋体"/>
          <w:snapToGrid w:val="0"/>
        </w:rPr>
        <w:t>95%</w:t>
      </w:r>
      <w:r>
        <w:rPr>
          <w:rFonts w:ascii="宋体" w:hAnsi="宋体" w:hint="eastAsia"/>
          <w:snapToGrid w:val="0"/>
        </w:rPr>
        <w:t>；</w:t>
      </w:r>
    </w:p>
    <w:p w14:paraId="6D03D979" w14:textId="77777777" w:rsidR="008F265F" w:rsidRDefault="00A542E4">
      <w:pPr>
        <w:ind w:firstLine="420"/>
        <w:rPr>
          <w:rFonts w:ascii="宋体" w:hAnsi="宋体"/>
          <w:snapToGrid w:val="0"/>
        </w:rPr>
      </w:pPr>
      <w:r>
        <w:rPr>
          <w:rFonts w:ascii="宋体" w:hAnsi="宋体" w:hint="eastAsia"/>
          <w:snapToGrid w:val="0"/>
        </w:rPr>
        <w:t>3．影像学检查显示脑垂体严重萎缩或消失；</w:t>
      </w:r>
    </w:p>
    <w:p w14:paraId="47BAD78A" w14:textId="77777777" w:rsidR="008F265F" w:rsidRDefault="00A542E4">
      <w:pPr>
        <w:ind w:firstLine="420"/>
        <w:rPr>
          <w:rFonts w:ascii="宋体" w:hAnsi="宋体"/>
          <w:snapToGrid w:val="0"/>
        </w:rPr>
      </w:pPr>
      <w:r>
        <w:rPr>
          <w:rFonts w:ascii="宋体" w:hAnsi="宋体" w:hint="eastAsia"/>
          <w:snapToGrid w:val="0"/>
        </w:rPr>
        <w:t>4．实验室检查显示：</w:t>
      </w:r>
    </w:p>
    <w:p w14:paraId="65EBA837" w14:textId="77777777" w:rsidR="008F265F" w:rsidRDefault="00A542E4">
      <w:pPr>
        <w:ind w:firstLine="420"/>
        <w:rPr>
          <w:rFonts w:ascii="宋体" w:hAnsi="宋体"/>
          <w:snapToGrid w:val="0"/>
        </w:rPr>
      </w:pPr>
      <w:r>
        <w:rPr>
          <w:rFonts w:ascii="宋体" w:hAnsi="宋体" w:hint="eastAsia"/>
          <w:snapToGrid w:val="0"/>
        </w:rPr>
        <w:t>（</w:t>
      </w:r>
      <w:r>
        <w:rPr>
          <w:rFonts w:ascii="宋体" w:hAnsi="宋体"/>
          <w:snapToGrid w:val="0"/>
        </w:rPr>
        <w:t>1</w:t>
      </w:r>
      <w:r>
        <w:rPr>
          <w:rFonts w:ascii="宋体" w:hAnsi="宋体" w:hint="eastAsia"/>
          <w:snapToGrid w:val="0"/>
        </w:rPr>
        <w:t>）垂体前叶激素全面低下（包括生长激素、促甲状腺素、促肾上腺皮质激素、卵泡刺激素和黄体生成素）；</w:t>
      </w:r>
    </w:p>
    <w:p w14:paraId="1CA13314" w14:textId="77777777" w:rsidR="008F265F" w:rsidRDefault="00A542E4">
      <w:pPr>
        <w:ind w:firstLine="420"/>
        <w:rPr>
          <w:rFonts w:ascii="宋体" w:hAnsi="宋体"/>
          <w:snapToGrid w:val="0"/>
        </w:rPr>
      </w:pPr>
      <w:r>
        <w:rPr>
          <w:rFonts w:ascii="宋体" w:hAnsi="宋体" w:hint="eastAsia"/>
          <w:snapToGrid w:val="0"/>
        </w:rPr>
        <w:t>（2）性激素、甲状腺素、肾上腺皮质激素全面低下。</w:t>
      </w:r>
    </w:p>
    <w:p w14:paraId="6F314BB9" w14:textId="77777777" w:rsidR="008F265F" w:rsidRDefault="00A542E4">
      <w:pPr>
        <w:ind w:firstLine="420"/>
        <w:rPr>
          <w:rFonts w:ascii="宋体" w:hAnsi="宋体"/>
          <w:snapToGrid w:val="0"/>
        </w:rPr>
      </w:pPr>
      <w:r>
        <w:rPr>
          <w:rFonts w:ascii="宋体" w:hAnsi="宋体" w:hint="eastAsia"/>
          <w:snapToGrid w:val="0"/>
        </w:rPr>
        <w:t>5．需要终身激素替代治疗以维持身体功能，持续服用各种替代激素超过一年。</w:t>
      </w:r>
    </w:p>
    <w:p w14:paraId="5132E0A8"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脊柱裂</w:t>
      </w:r>
    </w:p>
    <w:p w14:paraId="27E16EF7"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指脊椎或颅骨不完全闭合，导致脊髓脊膜突出，脑（脊）膜突出或脑膨出，并根据病历资料记载符合下列至少一项条件：</w:t>
      </w:r>
    </w:p>
    <w:p w14:paraId="0E6ABCB8" w14:textId="77777777" w:rsidR="008F265F" w:rsidRDefault="00A542E4">
      <w:pPr>
        <w:ind w:firstLine="420"/>
        <w:rPr>
          <w:rFonts w:ascii="宋体" w:hAnsi="宋体"/>
          <w:snapToGrid w:val="0"/>
        </w:rPr>
      </w:pPr>
      <w:r>
        <w:rPr>
          <w:rFonts w:ascii="宋体" w:hAnsi="宋体" w:hint="eastAsia"/>
          <w:snapToGrid w:val="0"/>
        </w:rPr>
        <w:lastRenderedPageBreak/>
        <w:t>1．大小便失禁；</w:t>
      </w:r>
    </w:p>
    <w:p w14:paraId="2FD6A128" w14:textId="77777777" w:rsidR="008F265F" w:rsidRDefault="00A542E4">
      <w:pPr>
        <w:ind w:firstLine="420"/>
        <w:rPr>
          <w:rFonts w:ascii="宋体" w:hAnsi="宋体"/>
          <w:snapToGrid w:val="0"/>
        </w:rPr>
      </w:pPr>
      <w:r>
        <w:rPr>
          <w:rFonts w:ascii="宋体" w:hAnsi="宋体" w:hint="eastAsia"/>
          <w:snapToGrid w:val="0"/>
        </w:rPr>
        <w:t>2．部分或完全性下肢瘫痪或畸形等神经学上的异常。</w:t>
      </w:r>
    </w:p>
    <w:p w14:paraId="57F14BDA" w14:textId="77777777" w:rsidR="008F265F" w:rsidRPr="00FD5F2C" w:rsidRDefault="00A542E4">
      <w:pPr>
        <w:autoSpaceDE w:val="0"/>
        <w:autoSpaceDN w:val="0"/>
        <w:adjustRightInd w:val="0"/>
        <w:spacing w:beforeLines="50" w:before="156"/>
        <w:ind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没有合并脊髓膜突出、脑（脊）膜突出的隐性脊椎裂不在保障范围内。</w:t>
      </w:r>
    </w:p>
    <w:p w14:paraId="5EF7DF9B"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我们承担本项疾病责任不受本主险合同责任免除中“遗传性疾病，先天性畸形、变形或染色体异常”的限制。</w:t>
      </w:r>
    </w:p>
    <w:p w14:paraId="664A2F59"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弥漫性血管内凝血</w:t>
      </w:r>
    </w:p>
    <w:p w14:paraId="470754B4"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指血液凝固系统和纤溶系统的过度活动导致微血管血栓形成、血小板及凝血因子耗竭和严重出血，需要输注血浆和浓缩血小板进行治疗。</w:t>
      </w:r>
    </w:p>
    <w:p w14:paraId="7F496264"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热纳综合征（窒息性胸腔失养症）(Turner Syndrome）</w:t>
      </w:r>
    </w:p>
    <w:p w14:paraId="3D5090D6"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罕见的常染色体隐性遗传病。主要表现为骨骼发育不良伴多器官受累。主要临床特征为小而狭窄的胸腔、短肋骨、四肢短小、骨盆形状异常，伴因胸腔受限导致的肺发育不良及不同程度的呼吸困难，也可发生肾、肝、胰腺和视网膜异常。须经专科医生明确诊断，且须满足下列全部条件：</w:t>
      </w:r>
    </w:p>
    <w:p w14:paraId="56D13AFB" w14:textId="77777777" w:rsidR="008F265F" w:rsidRDefault="00A542E4">
      <w:pPr>
        <w:ind w:firstLine="420"/>
        <w:rPr>
          <w:rFonts w:ascii="宋体" w:hAnsi="宋体"/>
          <w:snapToGrid w:val="0"/>
        </w:rPr>
      </w:pPr>
      <w:r>
        <w:rPr>
          <w:rFonts w:ascii="宋体" w:hAnsi="宋体" w:hint="eastAsia"/>
          <w:snapToGrid w:val="0"/>
        </w:rPr>
        <w:t>1．影像学检查显示存在典型X线表现为严重的肋骨短小、轻度肢体短小、狭长胸廓、髂骨发育不良和三叉戟形髋臼；</w:t>
      </w:r>
    </w:p>
    <w:p w14:paraId="33D095D6" w14:textId="77777777" w:rsidR="008F265F" w:rsidRDefault="00A542E4">
      <w:pPr>
        <w:ind w:firstLine="420"/>
        <w:rPr>
          <w:rFonts w:ascii="宋体" w:hAnsi="宋体"/>
          <w:snapToGrid w:val="0"/>
        </w:rPr>
      </w:pPr>
      <w:r>
        <w:rPr>
          <w:rFonts w:ascii="宋体" w:hAnsi="宋体" w:hint="eastAsia"/>
          <w:snapToGrid w:val="0"/>
        </w:rPr>
        <w:t>2．呼吸衰竭：动脉血氧分压（PaO2）低于8kPa（60mmHg），或二氧化碳分压（PaCO2）高于6.65kPa（50mmHg）；</w:t>
      </w:r>
    </w:p>
    <w:p w14:paraId="641106BC" w14:textId="77777777" w:rsidR="008F265F" w:rsidRDefault="00A542E4">
      <w:pPr>
        <w:ind w:firstLine="420"/>
        <w:rPr>
          <w:rFonts w:ascii="宋体" w:hAnsi="宋体"/>
          <w:snapToGrid w:val="0"/>
        </w:rPr>
      </w:pPr>
      <w:r>
        <w:rPr>
          <w:rFonts w:ascii="宋体" w:hAnsi="宋体" w:hint="eastAsia"/>
          <w:snapToGrid w:val="0"/>
        </w:rPr>
        <w:t>3．基因检测明确JS致病基因变异。</w:t>
      </w:r>
    </w:p>
    <w:p w14:paraId="7C3C4BE3" w14:textId="77777777" w:rsidR="008F265F" w:rsidRDefault="00A542E4">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rPr>
        <w:t>我们承担本项疾病责任不受本主险合同责任免除中“遗传性疾病，先天性畸形、变形或染色体异常”的限制。</w:t>
      </w:r>
    </w:p>
    <w:p w14:paraId="30382B64"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lastRenderedPageBreak/>
        <w:t>视神经脊髓炎（Neuromyelitis optica，NMO)</w:t>
      </w:r>
    </w:p>
    <w:p w14:paraId="75E572C4"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是一种免疫介导的以视神经和脊髓受累为主的中枢神经系统炎性脱髓鞘疾病，多急性/亚急性起病，临床表现包括6组核心症候群：</w:t>
      </w:r>
    </w:p>
    <w:p w14:paraId="7E70C86E"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hint="eastAsia"/>
          <w:snapToGrid w:val="0"/>
        </w:rPr>
        <w:t>1．</w:t>
      </w:r>
      <w:r>
        <w:rPr>
          <w:rFonts w:ascii="宋体" w:hAnsi="宋体" w:cs="Arial" w:hint="eastAsia"/>
          <w:snapToGrid w:val="0"/>
          <w:color w:val="000000"/>
        </w:rPr>
        <w:t>视神经炎；</w:t>
      </w:r>
    </w:p>
    <w:p w14:paraId="47C60E49"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hint="eastAsia"/>
          <w:snapToGrid w:val="0"/>
        </w:rPr>
        <w:t>2．</w:t>
      </w:r>
      <w:r>
        <w:rPr>
          <w:rFonts w:ascii="宋体" w:hAnsi="宋体" w:cs="Arial" w:hint="eastAsia"/>
          <w:snapToGrid w:val="0"/>
          <w:color w:val="000000"/>
        </w:rPr>
        <w:t>急性脊髓炎；</w:t>
      </w:r>
    </w:p>
    <w:p w14:paraId="141ED6C5"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hint="eastAsia"/>
          <w:snapToGrid w:val="0"/>
        </w:rPr>
        <w:t>3．</w:t>
      </w:r>
      <w:r>
        <w:rPr>
          <w:rFonts w:ascii="宋体" w:hAnsi="宋体" w:cs="Arial" w:hint="eastAsia"/>
          <w:snapToGrid w:val="0"/>
          <w:color w:val="000000"/>
        </w:rPr>
        <w:t>极后区综合征；</w:t>
      </w:r>
    </w:p>
    <w:p w14:paraId="7E220BA5"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hint="eastAsia"/>
          <w:snapToGrid w:val="0"/>
        </w:rPr>
        <w:t>4．</w:t>
      </w:r>
      <w:r>
        <w:rPr>
          <w:rFonts w:ascii="宋体" w:hAnsi="宋体" w:cs="Arial" w:hint="eastAsia"/>
          <w:snapToGrid w:val="0"/>
          <w:color w:val="000000"/>
        </w:rPr>
        <w:t>急性脑干综合征；</w:t>
      </w:r>
    </w:p>
    <w:p w14:paraId="7B25AF1A"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snapToGrid w:val="0"/>
        </w:rPr>
        <w:t>5</w:t>
      </w:r>
      <w:r>
        <w:rPr>
          <w:rFonts w:ascii="宋体" w:hAnsi="宋体" w:hint="eastAsia"/>
          <w:snapToGrid w:val="0"/>
        </w:rPr>
        <w:t>．</w:t>
      </w:r>
      <w:r>
        <w:rPr>
          <w:rFonts w:ascii="宋体" w:hAnsi="宋体" w:cs="Arial" w:hint="eastAsia"/>
          <w:snapToGrid w:val="0"/>
          <w:color w:val="000000"/>
        </w:rPr>
        <w:t>症状性睡眠发作或急性间脑临床综合征伴NMOSD典型的间脑MRI病灶；</w:t>
      </w:r>
    </w:p>
    <w:p w14:paraId="6FBB6384"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snapToGrid w:val="0"/>
        </w:rPr>
        <w:t>6</w:t>
      </w:r>
      <w:r>
        <w:rPr>
          <w:rFonts w:ascii="宋体" w:hAnsi="宋体" w:hint="eastAsia"/>
          <w:snapToGrid w:val="0"/>
        </w:rPr>
        <w:t>．</w:t>
      </w:r>
      <w:r>
        <w:rPr>
          <w:rFonts w:ascii="宋体" w:hAnsi="宋体" w:cs="Arial" w:hint="eastAsia"/>
          <w:snapToGrid w:val="0"/>
          <w:color w:val="000000"/>
        </w:rPr>
        <w:t>症状性大脑综合征伴NMOSD典型的脑部病变。</w:t>
      </w:r>
    </w:p>
    <w:p w14:paraId="02E5AE87"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必须经专科医生明确诊断，并伴有以下所有检查结果证实：脊髓MRI，脑脊液检查、视觉诱发电位、血清AQP4-IgG 检查。</w:t>
      </w:r>
    </w:p>
    <w:p w14:paraId="40650FFD"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尼曼皮克病</w:t>
      </w:r>
    </w:p>
    <w:p w14:paraId="0023376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于神经鞘磷脂酶缺乏致神经鞘磷脂代谢障碍。导致后者蓄积在单核-巨噬细胞系统内，出现肝、脾肿大，中枢神经系统退行性变。被保险人有明显黄疸、肝脾肿大、神经症状、智力减退和语言障碍。必须经专科医生明确诊断，并合并肝硬化或脾破裂，及伴有以下所有检查结果证实：</w:t>
      </w:r>
    </w:p>
    <w:p w14:paraId="62122B42" w14:textId="77777777" w:rsidR="008F265F" w:rsidRDefault="00A542E4">
      <w:pPr>
        <w:ind w:firstLine="420"/>
        <w:rPr>
          <w:rFonts w:ascii="宋体" w:hAnsi="宋体"/>
          <w:snapToGrid w:val="0"/>
        </w:rPr>
      </w:pPr>
      <w:r>
        <w:rPr>
          <w:rFonts w:ascii="宋体" w:hAnsi="宋体" w:hint="eastAsia"/>
          <w:snapToGrid w:val="0"/>
        </w:rPr>
        <w:t>1．外周血淋巴细胞浆和单核细胞浆有空泡；</w:t>
      </w:r>
    </w:p>
    <w:p w14:paraId="6E127AF0" w14:textId="77777777" w:rsidR="008F265F" w:rsidRDefault="00A542E4">
      <w:pPr>
        <w:ind w:firstLine="420"/>
        <w:rPr>
          <w:rFonts w:ascii="宋体" w:hAnsi="宋体"/>
          <w:snapToGrid w:val="0"/>
        </w:rPr>
      </w:pPr>
      <w:r>
        <w:rPr>
          <w:rFonts w:ascii="宋体" w:hAnsi="宋体" w:hint="eastAsia"/>
          <w:snapToGrid w:val="0"/>
        </w:rPr>
        <w:t>2．骨髓有泡沫细胞；</w:t>
      </w:r>
    </w:p>
    <w:p w14:paraId="560329FE" w14:textId="77777777" w:rsidR="008F265F" w:rsidRDefault="00A542E4">
      <w:pPr>
        <w:ind w:firstLine="420"/>
        <w:rPr>
          <w:rFonts w:ascii="宋体" w:hAnsi="宋体"/>
          <w:snapToGrid w:val="0"/>
        </w:rPr>
      </w:pPr>
      <w:r>
        <w:rPr>
          <w:rFonts w:ascii="宋体" w:hAnsi="宋体" w:hint="eastAsia"/>
          <w:snapToGrid w:val="0"/>
        </w:rPr>
        <w:t>3．胸部X线显示肺部呈粟粒样或网状浸润；</w:t>
      </w:r>
    </w:p>
    <w:p w14:paraId="526EE930" w14:textId="77777777" w:rsidR="008F265F" w:rsidRDefault="00A542E4">
      <w:pPr>
        <w:ind w:firstLine="420"/>
        <w:rPr>
          <w:rFonts w:ascii="宋体" w:hAnsi="宋体"/>
          <w:snapToGrid w:val="0"/>
        </w:rPr>
      </w:pPr>
      <w:r>
        <w:rPr>
          <w:rFonts w:ascii="宋体" w:hAnsi="宋体" w:hint="eastAsia"/>
          <w:snapToGrid w:val="0"/>
        </w:rPr>
        <w:t>4．尿液神经鞘磷脂含量明显增加。</w:t>
      </w:r>
    </w:p>
    <w:p w14:paraId="03F4B035"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仅保障</w:t>
      </w:r>
      <w:r w:rsidRPr="00FD5F2C">
        <w:rPr>
          <w:rFonts w:ascii="宋体" w:hAnsi="宋体" w:hint="eastAsia"/>
          <w:snapToGrid w:val="0"/>
          <w:color w:val="000000"/>
          <w:shd w:val="pct15" w:color="auto" w:fill="FFFFFF"/>
        </w:rPr>
        <w:t>A</w:t>
      </w:r>
      <w:r w:rsidRPr="00FD5F2C">
        <w:rPr>
          <w:rFonts w:ascii="宋体" w:hAnsi="宋体" w:cs="Arial" w:hint="eastAsia"/>
          <w:snapToGrid w:val="0"/>
          <w:color w:val="000000"/>
          <w:shd w:val="pct15" w:color="auto" w:fill="FFFFFF"/>
        </w:rPr>
        <w:t>型、B型、C型及D型尼曼匹克病。</w:t>
      </w:r>
    </w:p>
    <w:p w14:paraId="5D188598"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lastRenderedPageBreak/>
        <w:t>亚急性硬化性全脑炎</w:t>
      </w:r>
    </w:p>
    <w:p w14:paraId="10C9F5BC"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以大脑白质和灰质损害为主的全脑炎。本病的发生是由于缺损型麻疹病毒慢性持续感染所致的一种罕见的致命性中枢神经系统退变性疾病。早期以炎症性病变为主，晚期主要为神经元坏死和胶质增生，核内包涵体是本病的特征性改变之一。疾病确诊</w:t>
      </w:r>
      <w:r>
        <w:rPr>
          <w:rFonts w:ascii="宋体" w:hAnsi="宋体" w:cs="Arial"/>
          <w:snapToGrid w:val="0"/>
          <w:color w:val="000000"/>
        </w:rPr>
        <w:t>180</w:t>
      </w:r>
      <w:r>
        <w:rPr>
          <w:rFonts w:ascii="宋体" w:hAnsi="宋体" w:cs="Arial" w:hint="eastAsia"/>
          <w:snapToGrid w:val="0"/>
          <w:color w:val="000000"/>
        </w:rPr>
        <w:t>天后，仍遗留下列一种或一种以上障碍：</w:t>
      </w:r>
    </w:p>
    <w:p w14:paraId="2EE4D4C9"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．一肢或一肢以上肢体机能完全丧失；</w:t>
      </w:r>
    </w:p>
    <w:p w14:paraId="1BC3F24C"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．语言能力或咀嚼吞咽能力完全丧失；</w:t>
      </w:r>
    </w:p>
    <w:p w14:paraId="473307D4"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．自主生活能力完全丧失，无法独立完成六项基本日常生活活动中的三项或三项以上。</w:t>
      </w:r>
    </w:p>
    <w:p w14:paraId="0BC02F07"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进行性风疹性全脑炎</w:t>
      </w:r>
    </w:p>
    <w:p w14:paraId="66D8DF4E"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指由风疹病毒感染引起的儿童和青少年的慢性脑炎。疾病确诊</w:t>
      </w:r>
      <w:r>
        <w:rPr>
          <w:rFonts w:ascii="宋体" w:hAnsi="宋体" w:cs="Arial"/>
          <w:snapToGrid w:val="0"/>
          <w:color w:val="000000"/>
        </w:rPr>
        <w:t>180</w:t>
      </w:r>
      <w:r>
        <w:rPr>
          <w:rFonts w:ascii="宋体" w:hAnsi="宋体" w:cs="Arial" w:hint="eastAsia"/>
          <w:snapToGrid w:val="0"/>
          <w:color w:val="000000"/>
        </w:rPr>
        <w:t>天后，仍遗留下列一种或一种以上障碍：</w:t>
      </w:r>
    </w:p>
    <w:p w14:paraId="28FBA348" w14:textId="77777777" w:rsidR="008F265F" w:rsidRDefault="00A542E4">
      <w:pPr>
        <w:ind w:firstLine="420"/>
        <w:rPr>
          <w:rFonts w:ascii="宋体" w:hAnsi="宋体"/>
          <w:snapToGrid w:val="0"/>
        </w:rPr>
      </w:pPr>
      <w:r>
        <w:rPr>
          <w:rFonts w:ascii="宋体" w:hAnsi="宋体"/>
          <w:snapToGrid w:val="0"/>
        </w:rPr>
        <w:t>1</w:t>
      </w:r>
      <w:r>
        <w:rPr>
          <w:rFonts w:ascii="宋体" w:hAnsi="宋体" w:hint="eastAsia"/>
          <w:snapToGrid w:val="0"/>
        </w:rPr>
        <w:t>．一肢或一肢以上肢体机能完全丧失；</w:t>
      </w:r>
    </w:p>
    <w:p w14:paraId="58B3C2DE"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．语言能力或咀嚼吞咽能力完全丧失；</w:t>
      </w:r>
    </w:p>
    <w:p w14:paraId="0347A3F5"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．自主生活能力完全丧失，无法独立完成六项基本日常生活活动中的三项或三项以上。</w:t>
      </w:r>
    </w:p>
    <w:p w14:paraId="6E69914B"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败血症导致的多器官功能障碍综合症</w:t>
      </w:r>
    </w:p>
    <w:p w14:paraId="62F7D94A"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指由我们认可的医院的专科医生确诊为败血症，并由血液或骨髓检查证实致病菌，伴发一个或多个器官系统生理功能障碍，并因该疾病入住重症监护病房至少</w:t>
      </w:r>
      <w:r>
        <w:rPr>
          <w:rFonts w:ascii="宋体" w:hAnsi="宋体" w:cs="Arial"/>
          <w:snapToGrid w:val="0"/>
          <w:color w:val="000000"/>
        </w:rPr>
        <w:t>96</w:t>
      </w:r>
      <w:r>
        <w:rPr>
          <w:rFonts w:ascii="宋体" w:hAnsi="宋体" w:cs="Arial" w:hint="eastAsia"/>
          <w:snapToGrid w:val="0"/>
          <w:color w:val="000000"/>
        </w:rPr>
        <w:t>小时，同时至少满足以下一条标准：</w:t>
      </w:r>
    </w:p>
    <w:p w14:paraId="5957E424" w14:textId="77777777" w:rsidR="008F265F" w:rsidRDefault="00A542E4">
      <w:pPr>
        <w:ind w:firstLine="420"/>
        <w:rPr>
          <w:rFonts w:ascii="宋体" w:hAnsi="宋体"/>
          <w:snapToGrid w:val="0"/>
        </w:rPr>
      </w:pPr>
      <w:r>
        <w:rPr>
          <w:rFonts w:ascii="宋体" w:hAnsi="宋体"/>
          <w:snapToGrid w:val="0"/>
        </w:rPr>
        <w:lastRenderedPageBreak/>
        <w:t>1</w:t>
      </w:r>
      <w:r>
        <w:rPr>
          <w:rFonts w:ascii="宋体" w:hAnsi="宋体" w:hint="eastAsia"/>
          <w:snapToGrid w:val="0"/>
        </w:rPr>
        <w:t>．呼吸衰竭，需要进行气管插管机械通气；</w:t>
      </w:r>
    </w:p>
    <w:p w14:paraId="1BD82760" w14:textId="77777777" w:rsidR="008F265F" w:rsidRDefault="00A542E4">
      <w:pPr>
        <w:ind w:firstLine="420"/>
        <w:rPr>
          <w:rFonts w:ascii="宋体" w:hAnsi="宋体"/>
          <w:snapToGrid w:val="0"/>
        </w:rPr>
      </w:pPr>
      <w:r>
        <w:rPr>
          <w:rFonts w:ascii="宋体" w:hAnsi="宋体"/>
          <w:snapToGrid w:val="0"/>
        </w:rPr>
        <w:t>2</w:t>
      </w:r>
      <w:r>
        <w:rPr>
          <w:rFonts w:ascii="宋体" w:hAnsi="宋体" w:hint="eastAsia"/>
          <w:snapToGrid w:val="0"/>
        </w:rPr>
        <w:t>．凝血血小板计数</w:t>
      </w:r>
      <w:r>
        <w:rPr>
          <w:rFonts w:ascii="宋体" w:hAnsi="宋体"/>
          <w:snapToGrid w:val="0"/>
        </w:rPr>
        <w:t>＜50</w:t>
      </w:r>
      <w:r>
        <w:rPr>
          <w:rFonts w:ascii="宋体" w:hAnsi="宋体" w:hint="eastAsia"/>
          <w:snapToGrid w:val="0"/>
        </w:rPr>
        <w:t>×</w:t>
      </w:r>
      <w:r>
        <w:rPr>
          <w:rFonts w:ascii="宋体" w:hAnsi="宋体"/>
          <w:snapToGrid w:val="0"/>
        </w:rPr>
        <w:t>10</w:t>
      </w:r>
      <w:r>
        <w:rPr>
          <w:rFonts w:ascii="宋体" w:hAnsi="宋体" w:hint="eastAsia"/>
          <w:snapToGrid w:val="0"/>
        </w:rPr>
        <w:t>³</w:t>
      </w:r>
      <w:r>
        <w:rPr>
          <w:rFonts w:ascii="宋体" w:hAnsi="宋体"/>
          <w:snapToGrid w:val="0"/>
        </w:rPr>
        <w:t>/</w:t>
      </w:r>
      <w:r>
        <w:rPr>
          <w:rFonts w:ascii="宋体" w:hAnsi="宋体" w:hint="eastAsia"/>
          <w:snapToGrid w:val="0"/>
        </w:rPr>
        <w:t>微升；</w:t>
      </w:r>
    </w:p>
    <w:p w14:paraId="4E6B4FBD"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．肝功能不全，胆红素</w:t>
      </w:r>
      <w:r>
        <w:rPr>
          <w:rFonts w:ascii="宋体" w:hAnsi="宋体"/>
          <w:snapToGrid w:val="0"/>
        </w:rPr>
        <w:t>＞6mg/dl</w:t>
      </w:r>
      <w:r>
        <w:rPr>
          <w:rFonts w:ascii="宋体" w:hAnsi="宋体" w:hint="eastAsia"/>
          <w:snapToGrid w:val="0"/>
        </w:rPr>
        <w:t>或＞</w:t>
      </w:r>
      <w:r>
        <w:rPr>
          <w:rFonts w:ascii="宋体" w:hAnsi="宋体"/>
          <w:snapToGrid w:val="0"/>
        </w:rPr>
        <w:t>102µmol/L</w:t>
      </w:r>
      <w:r>
        <w:rPr>
          <w:rFonts w:ascii="宋体" w:hAnsi="宋体" w:hint="eastAsia"/>
          <w:snapToGrid w:val="0"/>
        </w:rPr>
        <w:t>；</w:t>
      </w:r>
    </w:p>
    <w:p w14:paraId="05DED28A" w14:textId="77777777" w:rsidR="008F265F" w:rsidRDefault="00A542E4">
      <w:pPr>
        <w:ind w:firstLine="420"/>
        <w:rPr>
          <w:rFonts w:ascii="宋体" w:hAnsi="宋体"/>
          <w:snapToGrid w:val="0"/>
        </w:rPr>
      </w:pPr>
      <w:r>
        <w:rPr>
          <w:rFonts w:ascii="宋体" w:hAnsi="宋体"/>
          <w:snapToGrid w:val="0"/>
        </w:rPr>
        <w:t>4</w:t>
      </w:r>
      <w:r>
        <w:rPr>
          <w:rFonts w:ascii="宋体" w:hAnsi="宋体" w:hint="eastAsia"/>
          <w:snapToGrid w:val="0"/>
        </w:rPr>
        <w:t>．已经使用强心剂；</w:t>
      </w:r>
    </w:p>
    <w:p w14:paraId="503FB98B" w14:textId="77777777" w:rsidR="008F265F" w:rsidRDefault="00A542E4">
      <w:pPr>
        <w:ind w:firstLine="420"/>
        <w:rPr>
          <w:rFonts w:ascii="宋体" w:hAnsi="宋体"/>
          <w:snapToGrid w:val="0"/>
        </w:rPr>
      </w:pPr>
      <w:r>
        <w:rPr>
          <w:rFonts w:ascii="宋体" w:hAnsi="宋体"/>
          <w:snapToGrid w:val="0"/>
        </w:rPr>
        <w:t>5</w:t>
      </w:r>
      <w:r>
        <w:rPr>
          <w:rFonts w:ascii="宋体" w:hAnsi="宋体" w:hint="eastAsia"/>
          <w:snapToGrid w:val="0"/>
        </w:rPr>
        <w:t>．昏迷：格拉斯哥昏迷评分（</w:t>
      </w:r>
      <w:r>
        <w:rPr>
          <w:rFonts w:ascii="宋体" w:hAnsi="宋体"/>
          <w:snapToGrid w:val="0"/>
        </w:rPr>
        <w:t>GCS</w:t>
      </w:r>
      <w:r>
        <w:rPr>
          <w:rFonts w:ascii="宋体" w:hAnsi="宋体" w:hint="eastAsia"/>
          <w:snapToGrid w:val="0"/>
        </w:rPr>
        <w:t>）≤</w:t>
      </w:r>
      <w:r>
        <w:rPr>
          <w:rFonts w:ascii="宋体" w:hAnsi="宋体"/>
          <w:snapToGrid w:val="0"/>
        </w:rPr>
        <w:t>9</w:t>
      </w:r>
      <w:r>
        <w:rPr>
          <w:rFonts w:ascii="宋体" w:hAnsi="宋体" w:hint="eastAsia"/>
          <w:snapToGrid w:val="0"/>
        </w:rPr>
        <w:t>；</w:t>
      </w:r>
    </w:p>
    <w:p w14:paraId="37BDF94A" w14:textId="77777777" w:rsidR="008F265F" w:rsidRDefault="00A542E4">
      <w:pPr>
        <w:ind w:firstLine="420"/>
        <w:rPr>
          <w:rFonts w:ascii="宋体" w:hAnsi="宋体"/>
          <w:snapToGrid w:val="0"/>
        </w:rPr>
      </w:pPr>
      <w:r>
        <w:rPr>
          <w:rFonts w:ascii="宋体" w:hAnsi="宋体"/>
          <w:snapToGrid w:val="0"/>
        </w:rPr>
        <w:t>6</w:t>
      </w:r>
      <w:r>
        <w:rPr>
          <w:rFonts w:ascii="宋体" w:hAnsi="宋体" w:hint="eastAsia"/>
          <w:snapToGrid w:val="0"/>
        </w:rPr>
        <w:t>．肾功能衰竭，血清肌酐</w:t>
      </w:r>
      <w:r>
        <w:rPr>
          <w:rFonts w:ascii="宋体" w:hAnsi="宋体"/>
          <w:snapToGrid w:val="0"/>
        </w:rPr>
        <w:t>＞300</w:t>
      </w:r>
      <w:r>
        <w:rPr>
          <w:rFonts w:ascii="宋体" w:hAnsi="宋体" w:hint="eastAsia"/>
          <w:snapToGrid w:val="0"/>
        </w:rPr>
        <w:t>µ</w:t>
      </w:r>
      <w:r>
        <w:rPr>
          <w:rFonts w:ascii="宋体" w:hAnsi="宋体"/>
          <w:snapToGrid w:val="0"/>
        </w:rPr>
        <w:t>mol/L</w:t>
      </w:r>
      <w:r>
        <w:rPr>
          <w:rFonts w:ascii="宋体" w:hAnsi="宋体" w:hint="eastAsia"/>
          <w:snapToGrid w:val="0"/>
        </w:rPr>
        <w:t>或</w:t>
      </w:r>
      <w:r>
        <w:rPr>
          <w:rFonts w:ascii="宋体" w:hAnsi="宋体"/>
          <w:snapToGrid w:val="0"/>
        </w:rPr>
        <w:t>＞3.5mg/dl</w:t>
      </w:r>
      <w:r>
        <w:rPr>
          <w:rFonts w:ascii="宋体" w:hAnsi="宋体" w:hint="eastAsia"/>
          <w:snapToGrid w:val="0"/>
        </w:rPr>
        <w:t>或尿量＜</w:t>
      </w:r>
      <w:r>
        <w:rPr>
          <w:rFonts w:ascii="宋体" w:hAnsi="宋体"/>
          <w:snapToGrid w:val="0"/>
        </w:rPr>
        <w:t>500ml/d</w:t>
      </w:r>
      <w:r>
        <w:rPr>
          <w:rFonts w:ascii="宋体" w:hAnsi="宋体" w:hint="eastAsia"/>
          <w:snapToGrid w:val="0"/>
        </w:rPr>
        <w:t>；</w:t>
      </w:r>
    </w:p>
    <w:p w14:paraId="0E116606"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非败血症引起的多器官功能障碍综合征不在保障范围内。</w:t>
      </w:r>
    </w:p>
    <w:p w14:paraId="4C83BB5C"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头臂动脉型多发性大动脉炎旁路移植手术</w:t>
      </w:r>
    </w:p>
    <w:p w14:paraId="74B7A7B0"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多发性大动脉炎（高安氏动脉炎）是一种发生在主动脉和其主要分支的慢性炎症性动脉疾病，表现为受累动脉狭窄或闭塞。头臂动脉型多发性大动脉炎是指多发性大动脉炎头臂动脉型（I型），又称为无脉症。被保险人被明确诊断为头臂动脉型多发性大动脉炎并且实际实施了经开胸（含胸腔镜下）进行的无名动脉（头臂干）、颈总动脉、锁骨下动脉旁路移植手术。</w:t>
      </w:r>
    </w:p>
    <w:p w14:paraId="44A90106"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非开胸的血管旁路移植手术、因其他病因而进行的旁路移植手术，对其他动脉进行的旁路移植手术，经皮经导管进行的血管内手术不在保障范围内。</w:t>
      </w:r>
    </w:p>
    <w:p w14:paraId="22992736"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范可尼综合征（Fanconi综合征）——</w:t>
      </w:r>
      <w:r w:rsidRPr="00FD5F2C">
        <w:rPr>
          <w:rFonts w:ascii="宋体" w:hAnsi="宋体" w:cs="Arial" w:hint="eastAsia"/>
          <w:snapToGrid w:val="0"/>
          <w:color w:val="000000"/>
          <w:shd w:val="pct15" w:color="auto" w:fill="FFFFFF"/>
        </w:rPr>
        <w:t>三周岁后始理赔</w:t>
      </w:r>
    </w:p>
    <w:p w14:paraId="688208E6"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指近端肾小管的功能异常引起的一组症候群。须满足下列至少两个条件：</w:t>
      </w:r>
    </w:p>
    <w:p w14:paraId="5F9C47EE" w14:textId="77777777" w:rsidR="008F265F" w:rsidRDefault="00A542E4">
      <w:pPr>
        <w:ind w:firstLine="420"/>
        <w:rPr>
          <w:rFonts w:ascii="宋体" w:hAnsi="宋体"/>
          <w:snapToGrid w:val="0"/>
        </w:rPr>
      </w:pPr>
      <w:r>
        <w:rPr>
          <w:rFonts w:ascii="宋体" w:hAnsi="宋体" w:hint="eastAsia"/>
          <w:snapToGrid w:val="0"/>
        </w:rPr>
        <w:t>1．尿液检查出现肾性糖尿、全氨基酸尿或磷酸盐尿；</w:t>
      </w:r>
    </w:p>
    <w:p w14:paraId="09805047" w14:textId="77777777" w:rsidR="008F265F" w:rsidRDefault="00A542E4">
      <w:pPr>
        <w:ind w:firstLine="420"/>
        <w:rPr>
          <w:rFonts w:ascii="宋体" w:hAnsi="宋体"/>
          <w:snapToGrid w:val="0"/>
        </w:rPr>
      </w:pPr>
      <w:r>
        <w:rPr>
          <w:rFonts w:ascii="宋体" w:hAnsi="宋体" w:hint="eastAsia"/>
          <w:snapToGrid w:val="0"/>
        </w:rPr>
        <w:t>2．血液检查出现低磷血症、低尿酸血症或近端肾小管酸中毒；</w:t>
      </w:r>
    </w:p>
    <w:p w14:paraId="1A946CF7" w14:textId="77777777" w:rsidR="008F265F" w:rsidRDefault="00A542E4">
      <w:pPr>
        <w:ind w:firstLine="420"/>
        <w:rPr>
          <w:rFonts w:ascii="宋体" w:hAnsi="宋体"/>
          <w:snapToGrid w:val="0"/>
        </w:rPr>
      </w:pPr>
      <w:r>
        <w:rPr>
          <w:rFonts w:ascii="宋体" w:hAnsi="宋体"/>
          <w:snapToGrid w:val="0"/>
        </w:rPr>
        <w:t>3</w:t>
      </w:r>
      <w:r>
        <w:rPr>
          <w:rFonts w:ascii="宋体" w:hAnsi="宋体" w:hint="eastAsia"/>
          <w:snapToGrid w:val="0"/>
        </w:rPr>
        <w:t>．出现骨质疏松、骨骼畸形或尿路结石；</w:t>
      </w:r>
    </w:p>
    <w:p w14:paraId="4B2509E9" w14:textId="77777777" w:rsidR="008F265F" w:rsidRDefault="00A542E4">
      <w:pPr>
        <w:ind w:firstLine="420"/>
        <w:rPr>
          <w:rFonts w:ascii="宋体" w:hAnsi="宋体"/>
          <w:snapToGrid w:val="0"/>
        </w:rPr>
      </w:pPr>
      <w:r>
        <w:rPr>
          <w:rFonts w:ascii="宋体" w:hAnsi="宋体"/>
          <w:snapToGrid w:val="0"/>
        </w:rPr>
        <w:lastRenderedPageBreak/>
        <w:t>4</w:t>
      </w:r>
      <w:r>
        <w:rPr>
          <w:rFonts w:ascii="宋体" w:hAnsi="宋体" w:hint="eastAsia"/>
          <w:snapToGrid w:val="0"/>
        </w:rPr>
        <w:t>．通过骨髓片、白细胞、直肠黏膜中的结晶分析或裂隙灯检查角膜有胱氨酸结晶。</w:t>
      </w:r>
    </w:p>
    <w:p w14:paraId="66FA02BD" w14:textId="77777777" w:rsidR="008F265F" w:rsidRPr="00FD5F2C" w:rsidRDefault="00A542E4">
      <w:pPr>
        <w:autoSpaceDE w:val="0"/>
        <w:autoSpaceDN w:val="0"/>
        <w:adjustRightInd w:val="0"/>
        <w:spacing w:beforeLines="50" w:before="156"/>
        <w:ind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被保险人于三周岁之前确诊该疾病，我们不承担保险责任。</w:t>
      </w:r>
    </w:p>
    <w:p w14:paraId="2047F75C"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snapToGrid w:val="0"/>
          <w:color w:val="000000"/>
        </w:rPr>
        <w:t>Brugada</w:t>
      </w:r>
      <w:r>
        <w:rPr>
          <w:rFonts w:ascii="宋体" w:hAnsi="宋体" w:cs="Arial" w:hint="eastAsia"/>
          <w:snapToGrid w:val="0"/>
          <w:color w:val="000000"/>
        </w:rPr>
        <w:t>综合征</w:t>
      </w:r>
    </w:p>
    <w:p w14:paraId="03E95114"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由心脏科专科医生根据临床症状和典型心电图表现明确诊断，并且经专科医生判断认为必须安装且实际已安装了永久性心脏除颤器。</w:t>
      </w:r>
    </w:p>
    <w:p w14:paraId="28D818C6"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严重弥漫性硬化</w:t>
      </w:r>
    </w:p>
    <w:p w14:paraId="053B39BA" w14:textId="77777777" w:rsidR="008F265F" w:rsidRDefault="00A542E4">
      <w:pPr>
        <w:autoSpaceDE w:val="0"/>
        <w:autoSpaceDN w:val="0"/>
        <w:adjustRightInd w:val="0"/>
        <w:spacing w:beforeLines="50" w:before="156"/>
        <w:ind w:leftChars="3" w:left="6" w:firstLine="414"/>
        <w:rPr>
          <w:rFonts w:ascii="宋体" w:hAnsi="宋体" w:cs="Arial"/>
          <w:snapToGrid w:val="0"/>
          <w:color w:val="000000"/>
        </w:rPr>
      </w:pPr>
      <w:r>
        <w:rPr>
          <w:rFonts w:ascii="宋体" w:hAnsi="宋体" w:cs="Arial" w:hint="eastAsia"/>
          <w:snapToGrid w:val="0"/>
          <w:color w:val="000000"/>
        </w:rPr>
        <w:t>是一种罕见的、散发的脱髓鞘疾病。病理为大脑双侧半球白质大片脱髓鞘，以及一些小脱髓鞘病灶。脱髓鞘区轴索相对保留，在病灶中央区轴索可显著破坏。须经相关专科医生明确诊断，且需满足自主生活能力完全丧失，无法独立完成六项基本日常生活活动中的三项或三项以上。</w:t>
      </w:r>
    </w:p>
    <w:p w14:paraId="4C224739"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闭锁综合征</w:t>
      </w:r>
    </w:p>
    <w:p w14:paraId="5A132774"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又称闭锁症候群，即去传出状态，系脑桥基底部病变所致。须经专科医生明确诊断，并且需满足自主生活能力严重丧失，无法独立完成六项基本日常生活活动中的三项或三项以上。</w:t>
      </w:r>
    </w:p>
    <w:p w14:paraId="2BDD6D80"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神经白塞病</w:t>
      </w:r>
    </w:p>
    <w:p w14:paraId="68BE919A"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白塞病是一种慢性全身性血管炎症性疾病，主要表现为复发性口腔溃疡、生殖器溃疡、眼炎及皮肤损害，并可累及大血管、神经系统、消化道、肺、肾等。累及神经系统损害的白塞病称为神经白塞病。神经白塞病必须经专科医生明确诊断，并且已经造成永久不可逆的神经系统功能损害。永久不可逆</w:t>
      </w:r>
      <w:r>
        <w:rPr>
          <w:rFonts w:ascii="宋体" w:hAnsi="宋体" w:cs="Arial" w:hint="eastAsia"/>
          <w:snapToGrid w:val="0"/>
          <w:color w:val="000000"/>
        </w:rPr>
        <w:lastRenderedPageBreak/>
        <w:t>的神经系统损害指被保险人持续</w:t>
      </w:r>
      <w:r>
        <w:rPr>
          <w:rFonts w:ascii="宋体" w:hAnsi="宋体" w:cs="Arial"/>
          <w:snapToGrid w:val="0"/>
          <w:color w:val="000000"/>
        </w:rPr>
        <w:t>180</w:t>
      </w:r>
      <w:r>
        <w:rPr>
          <w:rFonts w:ascii="宋体" w:hAnsi="宋体" w:cs="Arial" w:hint="eastAsia"/>
          <w:snapToGrid w:val="0"/>
          <w:color w:val="000000"/>
        </w:rPr>
        <w:t>天无法独立完成下列基本日常生活活动之一：</w:t>
      </w:r>
    </w:p>
    <w:p w14:paraId="71E4B36F"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1．移动：自己从一个房间到另一个房间；</w:t>
      </w:r>
    </w:p>
    <w:p w14:paraId="6DC49824"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2．进食：自己从已准备好的碗或碟中取食物放入口中。</w:t>
      </w:r>
    </w:p>
    <w:p w14:paraId="2A0D8FCC"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严重Ⅲ度冻伤导致截肢</w:t>
      </w:r>
    </w:p>
    <w:p w14:paraId="65523C2E"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冻伤是由于寒冷潮湿作用引起的人体局部或全身损伤。指冻伤程度达到Ⅲ度，且导致两个或两个以上肢体自腕关节或踝关节近端（靠近躯干端）以上完全性断离。</w:t>
      </w:r>
    </w:p>
    <w:p w14:paraId="1EDB9DF5"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w:t>
      </w:r>
      <w:r>
        <w:rPr>
          <w:rFonts w:ascii="宋体" w:hAnsi="宋体" w:cs="Arial"/>
          <w:snapToGrid w:val="0"/>
          <w:color w:val="000000"/>
        </w:rPr>
        <w:t>1</w:t>
      </w:r>
      <w:r>
        <w:rPr>
          <w:rFonts w:ascii="宋体" w:hAnsi="宋体" w:cs="Arial" w:hint="eastAsia"/>
          <w:snapToGrid w:val="0"/>
          <w:color w:val="000000"/>
        </w:rPr>
        <w:t>型糖尿病</w:t>
      </w:r>
    </w:p>
    <w:p w14:paraId="6A479366"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1型糖尿病是由于胰岛素分泌绝对不足而引起以血浆葡萄糖水平增高为特征的代谢内分泌疾病，需持续利用外源性胰岛素治疗维持180天以上。必须经我们认可的专科医生明确诊断为1型糖尿病，而且有血胰岛素测定及血C肽或尿C肽测定结果支持诊断，并满足下列至少一个条件：</w:t>
      </w:r>
    </w:p>
    <w:p w14:paraId="56EE9043"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1．糖尿病肾病，且尿蛋白﹥0.5g/24h；</w:t>
      </w:r>
    </w:p>
    <w:p w14:paraId="19213CE0"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2．因糖尿病足趾坏疽实际实施了足趾或下肢截断术；</w:t>
      </w:r>
    </w:p>
    <w:p w14:paraId="2B290B62"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3．须植入心脏起搏器治疗心脏病。</w:t>
      </w:r>
    </w:p>
    <w:p w14:paraId="60A6764E"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严重心脏衰竭</w:t>
      </w:r>
      <w:r>
        <w:rPr>
          <w:rFonts w:ascii="宋体" w:hAnsi="宋体" w:cs="Arial"/>
          <w:snapToGrid w:val="0"/>
          <w:color w:val="000000"/>
        </w:rPr>
        <w:t>CRT</w:t>
      </w:r>
      <w:r>
        <w:rPr>
          <w:rFonts w:ascii="宋体" w:hAnsi="宋体" w:cs="Arial" w:hint="eastAsia"/>
          <w:snapToGrid w:val="0"/>
          <w:color w:val="000000"/>
        </w:rPr>
        <w:t>心脏再同步治疗</w:t>
      </w:r>
    </w:p>
    <w:p w14:paraId="6D158804"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指因缺血性心脏病或扩张性心肌病导致慢性严重心脏衰竭，被保险人实际接受了</w:t>
      </w:r>
      <w:r>
        <w:rPr>
          <w:rFonts w:ascii="宋体" w:hAnsi="宋体" w:cs="Arial"/>
          <w:snapToGrid w:val="0"/>
          <w:color w:val="000000"/>
        </w:rPr>
        <w:t>CRT</w:t>
      </w:r>
      <w:r>
        <w:rPr>
          <w:rFonts w:ascii="宋体" w:hAnsi="宋体" w:cs="Arial" w:hint="eastAsia"/>
          <w:snapToGrid w:val="0"/>
          <w:color w:val="000000"/>
        </w:rPr>
        <w:t>治疗，以矫正心室收缩不协调和改善心脏功能。接受治疗之前必须满足下列所有条件：</w:t>
      </w:r>
    </w:p>
    <w:p w14:paraId="6E10010E"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lastRenderedPageBreak/>
        <w:t>1．心功能衰竭程度达到美国纽约心脏病学会（New York Heart Association，NYHA）心功能状态分级Ⅲ级或Ⅳ级；</w:t>
      </w:r>
    </w:p>
    <w:p w14:paraId="77055CCF"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2．左室射血分数低于</w:t>
      </w:r>
      <w:r>
        <w:rPr>
          <w:rFonts w:ascii="宋体" w:hAnsi="宋体" w:cs="Arial"/>
          <w:snapToGrid w:val="0"/>
          <w:color w:val="000000"/>
        </w:rPr>
        <w:t>35%</w:t>
      </w:r>
      <w:r>
        <w:rPr>
          <w:rFonts w:ascii="宋体" w:hAnsi="宋体" w:cs="Arial" w:hint="eastAsia"/>
          <w:snapToGrid w:val="0"/>
          <w:color w:val="000000"/>
        </w:rPr>
        <w:t>；</w:t>
      </w:r>
    </w:p>
    <w:p w14:paraId="23C6729A"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3．左室舒张末期内径≥</w:t>
      </w:r>
      <w:r>
        <w:rPr>
          <w:rFonts w:ascii="宋体" w:hAnsi="宋体" w:cs="Arial"/>
          <w:snapToGrid w:val="0"/>
          <w:color w:val="000000"/>
        </w:rPr>
        <w:t>55mm</w:t>
      </w:r>
      <w:r>
        <w:rPr>
          <w:rFonts w:ascii="宋体" w:hAnsi="宋体" w:cs="Arial" w:hint="eastAsia"/>
          <w:snapToGrid w:val="0"/>
          <w:color w:val="000000"/>
        </w:rPr>
        <w:t>；</w:t>
      </w:r>
    </w:p>
    <w:p w14:paraId="0F274C19"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4．</w:t>
      </w:r>
      <w:r>
        <w:rPr>
          <w:rFonts w:ascii="宋体" w:hAnsi="宋体" w:cs="Arial"/>
          <w:snapToGrid w:val="0"/>
          <w:color w:val="000000"/>
        </w:rPr>
        <w:t>QRS</w:t>
      </w:r>
      <w:r>
        <w:rPr>
          <w:rFonts w:ascii="宋体" w:hAnsi="宋体" w:cs="Arial" w:hint="eastAsia"/>
          <w:snapToGrid w:val="0"/>
          <w:color w:val="000000"/>
        </w:rPr>
        <w:t>时间≥</w:t>
      </w:r>
      <w:r>
        <w:rPr>
          <w:rFonts w:ascii="宋体" w:hAnsi="宋体" w:cs="Arial"/>
          <w:snapToGrid w:val="0"/>
          <w:color w:val="000000"/>
        </w:rPr>
        <w:t>130msec</w:t>
      </w:r>
      <w:r>
        <w:rPr>
          <w:rFonts w:ascii="宋体" w:hAnsi="宋体" w:cs="Arial" w:hint="eastAsia"/>
          <w:snapToGrid w:val="0"/>
          <w:color w:val="000000"/>
        </w:rPr>
        <w:t>；</w:t>
      </w:r>
    </w:p>
    <w:p w14:paraId="719F1FDD"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5．药物治疗效果不佳，仍有症状。</w:t>
      </w:r>
    </w:p>
    <w:p w14:paraId="009657C0"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皮质基底节变性</w:t>
      </w:r>
    </w:p>
    <w:p w14:paraId="22B11AF9"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皮质基底节变性：指一种慢性进展性神经变性疾病，以不对称发作的无动性强直综合征、失用、肌张力障碍及姿势异常为其临床特征。须经临床医生明确诊断，被保险人自主生活能力完全丧失，无法独立完成六项基本日常生活活动中的三项或三项以上，日常生活必须持续受到他人监护。</w:t>
      </w:r>
    </w:p>
    <w:p w14:paraId="7F647B1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异染性脑白质营养不良</w:t>
      </w:r>
    </w:p>
    <w:p w14:paraId="4CD38613"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是一种严重的神经退化性代谢病，主要表现为行走困难、智力低下、废用性肌萎缩、四肢痉挛性瘫痪、视神经萎缩、失语等。须经我们认可的医院的专科医生诊断，且已经造成自主生活能力完全丧失，无法独立完成六项基本日常生活活动中的三项或三项以上，持续至少180天（含）。</w:t>
      </w:r>
    </w:p>
    <w:p w14:paraId="69CB5F3E"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狂犬病</w:t>
      </w:r>
    </w:p>
    <w:p w14:paraId="3A11AD48"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指狂犬病毒所致的急性传染病，人多因被病兽咬伤而感染。临床表现为特有的恐水、怕风、咽肌痉挛、进行性瘫痪等。须经专科医生明确诊断。</w:t>
      </w:r>
    </w:p>
    <w:p w14:paraId="5331823D"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严重气性坏疽</w:t>
      </w:r>
    </w:p>
    <w:p w14:paraId="2D5E4B42"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指由梭状芽胞杆菌所致的肌坏死或肌炎。本病须经专科医生明确诊断且满足以下所有条件：</w:t>
      </w:r>
    </w:p>
    <w:p w14:paraId="1579E870"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1．符合气性坏疽的一般临床表现；</w:t>
      </w:r>
    </w:p>
    <w:p w14:paraId="00D6D2C7"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2．细菌培养检出梭状芽胞杆菌；</w:t>
      </w:r>
    </w:p>
    <w:p w14:paraId="4C60D7B6" w14:textId="77777777" w:rsidR="008F265F" w:rsidRDefault="00A542E4">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3．出现广泛性肌肉及组织坏死，并实际实施了坏死组织、筋膜以及肌肉的切除手术。</w:t>
      </w:r>
    </w:p>
    <w:p w14:paraId="3A403C88" w14:textId="77777777" w:rsidR="008F265F" w:rsidRPr="00FD5F2C" w:rsidRDefault="00A542E4">
      <w:pPr>
        <w:autoSpaceDE w:val="0"/>
        <w:autoSpaceDN w:val="0"/>
        <w:adjustRightInd w:val="0"/>
        <w:spacing w:beforeLines="50" w:before="156"/>
        <w:ind w:firstLine="420"/>
        <w:rPr>
          <w:rFonts w:ascii="宋体" w:hAnsi="宋体" w:cs="Arial"/>
          <w:snapToGrid w:val="0"/>
          <w:color w:val="000000"/>
          <w:shd w:val="pct15" w:color="auto" w:fill="FFFFFF"/>
        </w:rPr>
      </w:pPr>
      <w:r w:rsidRPr="00FD5F2C">
        <w:rPr>
          <w:rFonts w:ascii="宋体" w:hAnsi="宋体" w:cs="Arial"/>
          <w:snapToGrid w:val="0"/>
          <w:color w:val="000000"/>
          <w:shd w:val="pct15" w:color="auto" w:fill="FFFFFF"/>
        </w:rPr>
        <w:t>清创术不在保障范围内。</w:t>
      </w:r>
    </w:p>
    <w:p w14:paraId="4D5F036C"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脑桥中央髓鞘溶解症</w:t>
      </w:r>
    </w:p>
    <w:p w14:paraId="51133427"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脑桥中央髓鞘溶解症（</w:t>
      </w:r>
      <w:r>
        <w:rPr>
          <w:rFonts w:ascii="宋体" w:hAnsi="宋体" w:cs="Arial"/>
          <w:snapToGrid w:val="0"/>
          <w:color w:val="000000"/>
        </w:rPr>
        <w:t>CPM</w:t>
      </w:r>
      <w:r>
        <w:rPr>
          <w:rFonts w:ascii="宋体" w:hAnsi="宋体" w:cs="Arial" w:hint="eastAsia"/>
          <w:snapToGrid w:val="0"/>
          <w:color w:val="000000"/>
        </w:rPr>
        <w:t>）是一种代谢性脱髓鞘疾病。</w:t>
      </w:r>
      <w:r>
        <w:rPr>
          <w:rFonts w:ascii="宋体" w:hAnsi="宋体" w:cs="Arial"/>
          <w:snapToGrid w:val="0"/>
          <w:color w:val="000000"/>
        </w:rPr>
        <w:t>CPM</w:t>
      </w:r>
      <w:r>
        <w:rPr>
          <w:rFonts w:ascii="宋体" w:hAnsi="宋体" w:cs="Arial" w:hint="eastAsia"/>
          <w:snapToGrid w:val="0"/>
          <w:color w:val="000000"/>
        </w:rPr>
        <w:t>由</w:t>
      </w:r>
      <w:r>
        <w:rPr>
          <w:rFonts w:ascii="宋体" w:hAnsi="宋体" w:cs="Arial"/>
          <w:snapToGrid w:val="0"/>
          <w:color w:val="000000"/>
        </w:rPr>
        <w:t>Adams</w:t>
      </w:r>
      <w:r>
        <w:rPr>
          <w:rFonts w:ascii="宋体" w:hAnsi="宋体" w:cs="Arial" w:hint="eastAsia"/>
          <w:snapToGrid w:val="0"/>
          <w:color w:val="000000"/>
        </w:rPr>
        <w:t>首次提出，病理学上表现为髓鞘脱失不伴炎症反应。临床常见症状为突发四肢弛缓性瘫，咀嚼、吞咽及言语障碍，眼震及眼球凝视障碍等。须经专科医生明确诊断，并且需满足自主生活能力完全丧失，无法独立完成六项基本日常生活活动中的三项或三项以上。</w:t>
      </w:r>
    </w:p>
    <w:p w14:paraId="68C4A7EA" w14:textId="77777777" w:rsidR="008F265F" w:rsidRPr="00FD5F2C" w:rsidRDefault="00A542E4">
      <w:pPr>
        <w:autoSpaceDE w:val="0"/>
        <w:autoSpaceDN w:val="0"/>
        <w:adjustRightInd w:val="0"/>
        <w:spacing w:beforeLines="50" w:before="156"/>
        <w:ind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因酗酒导致的脑桥中央髓鞘溶解症不在保障范围内。</w:t>
      </w:r>
    </w:p>
    <w:p w14:paraId="5B6A9D7D"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严重出血性登革热</w:t>
      </w:r>
    </w:p>
    <w:p w14:paraId="2428AA51"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登革热是由登革热病毒引起的急性传染病，为一种自限性疾病，通常预后良好。须经专科医生明确诊断，并须出现下列一种或多种严重登革热的临床表现：</w:t>
      </w:r>
    </w:p>
    <w:p w14:paraId="471A9A1A"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snapToGrid w:val="0"/>
        </w:rPr>
        <w:t>1</w:t>
      </w:r>
      <w:r>
        <w:rPr>
          <w:rFonts w:ascii="宋体" w:hAnsi="宋体" w:hint="eastAsia"/>
          <w:snapToGrid w:val="0"/>
        </w:rPr>
        <w:t>．</w:t>
      </w:r>
      <w:r>
        <w:rPr>
          <w:rFonts w:ascii="宋体" w:hAnsi="宋体" w:cs="Arial" w:hint="eastAsia"/>
          <w:snapToGrid w:val="0"/>
          <w:color w:val="000000"/>
        </w:rPr>
        <w:t>血浆渗漏致休克或胸腔积液伴呼吸困难；</w:t>
      </w:r>
    </w:p>
    <w:p w14:paraId="6296A585"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2．严重出血：消化道出血、阴道大出血、颅内出血、肉眼血尿或皮下血肿（不包括皮下出血点）；</w:t>
      </w:r>
    </w:p>
    <w:p w14:paraId="4858C37F"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Pr>
          <w:rFonts w:ascii="宋体" w:hAnsi="宋体" w:cs="Arial" w:hint="eastAsia"/>
          <w:snapToGrid w:val="0"/>
          <w:color w:val="000000"/>
        </w:rPr>
        <w:t>．严重器官损害或衰竭：肝脏损伤（</w:t>
      </w:r>
      <w:r>
        <w:rPr>
          <w:rFonts w:ascii="宋体" w:hAnsi="宋体" w:cs="Arial"/>
          <w:snapToGrid w:val="0"/>
          <w:color w:val="000000"/>
        </w:rPr>
        <w:t>ALT</w:t>
      </w:r>
      <w:r>
        <w:rPr>
          <w:rFonts w:ascii="宋体" w:hAnsi="宋体" w:cs="Arial" w:hint="eastAsia"/>
          <w:snapToGrid w:val="0"/>
          <w:color w:val="000000"/>
        </w:rPr>
        <w:t>或</w:t>
      </w:r>
      <w:r>
        <w:rPr>
          <w:rFonts w:ascii="宋体" w:hAnsi="宋体" w:cs="Arial"/>
          <w:snapToGrid w:val="0"/>
          <w:color w:val="000000"/>
        </w:rPr>
        <w:t>AST＞1000IU/L</w:t>
      </w:r>
      <w:r>
        <w:rPr>
          <w:rFonts w:ascii="宋体" w:hAnsi="宋体" w:cs="Arial" w:hint="eastAsia"/>
          <w:snapToGrid w:val="0"/>
          <w:color w:val="000000"/>
        </w:rPr>
        <w:t>）、</w:t>
      </w:r>
      <w:r>
        <w:rPr>
          <w:rFonts w:ascii="宋体" w:hAnsi="宋体" w:cs="Arial"/>
          <w:snapToGrid w:val="0"/>
          <w:color w:val="000000"/>
        </w:rPr>
        <w:t>ARDS</w:t>
      </w:r>
      <w:r>
        <w:rPr>
          <w:rFonts w:ascii="宋体" w:hAnsi="宋体" w:cs="Arial" w:hint="eastAsia"/>
          <w:snapToGrid w:val="0"/>
          <w:color w:val="000000"/>
        </w:rPr>
        <w:t>（急性呼吸窘迫综合征）、急性心功能衰竭、急性肾功能衰竭、脑病。</w:t>
      </w:r>
    </w:p>
    <w:p w14:paraId="1050B35C"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多系统萎缩</w:t>
      </w:r>
    </w:p>
    <w:p w14:paraId="02FD8A32"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一种散发性的神经系统变性疾病，临床表现力为不同程度的自主神经功能障碍、对左旋多巴胺类药物反应不良的帕金森综合征、小脑性共济失调和锥体束征等症状。被保险人自主生活能力完全丧失，无法独立完成六项基本日常生活活动中的三项或三项以上，日常生活必须持续受到他人监护。导致痴呆的疾病必须明确诊断，并且有完整的临床、实验室和影像学检查结果证实。</w:t>
      </w:r>
    </w:p>
    <w:p w14:paraId="53AB555D" w14:textId="77777777" w:rsidR="008F265F" w:rsidRDefault="00A542E4">
      <w:pPr>
        <w:autoSpaceDE w:val="0"/>
        <w:autoSpaceDN w:val="0"/>
        <w:adjustRightInd w:val="0"/>
        <w:spacing w:beforeLines="50" w:before="156"/>
        <w:ind w:firstLine="420"/>
        <w:rPr>
          <w:rFonts w:ascii="宋体" w:hAnsi="宋体" w:cs="Arial"/>
          <w:snapToGrid w:val="0"/>
          <w:color w:val="000000"/>
          <w:shd w:val="pct10" w:color="auto" w:fill="FFFFFF"/>
        </w:rPr>
      </w:pPr>
      <w:r w:rsidRPr="00FD5F2C">
        <w:rPr>
          <w:rFonts w:ascii="宋体" w:hAnsi="宋体" w:cs="Arial" w:hint="eastAsia"/>
          <w:snapToGrid w:val="0"/>
          <w:color w:val="000000"/>
          <w:shd w:val="pct15" w:color="auto" w:fill="FFFFFF"/>
        </w:rPr>
        <w:t>神经官能征、精神疾病及酒精中毒所致脑损害不在保障范围内。</w:t>
      </w:r>
    </w:p>
    <w:p w14:paraId="6EF6A946"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严重破伤风</w:t>
      </w:r>
    </w:p>
    <w:p w14:paraId="07C8E722" w14:textId="77777777" w:rsidR="008F265F" w:rsidRDefault="00A542E4">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指破伤风梭菌经由皮肤或黏膜伤口侵入人体，在缺氧环境下生长繁殖，产生毒素而引起肌痉挛的一种特异性感染。须经专科医生明确诊断。</w:t>
      </w:r>
    </w:p>
    <w:p w14:paraId="4157AAD7"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严重Ⅲ度房室传导阻滞</w:t>
      </w:r>
    </w:p>
    <w:p w14:paraId="5B41C961"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指心房激动在房室交界区、房室束及其分支内发生阻滞，不能正常地传到心室的心脏传导性疾病，须满足下列所有条件：</w:t>
      </w:r>
    </w:p>
    <w:p w14:paraId="05D76ED3" w14:textId="77777777" w:rsidR="008F265F" w:rsidRDefault="00A542E4">
      <w:pPr>
        <w:autoSpaceDE w:val="0"/>
        <w:autoSpaceDN w:val="0"/>
        <w:adjustRightInd w:val="0"/>
        <w:ind w:firstLineChars="200" w:firstLine="420"/>
        <w:rPr>
          <w:rFonts w:ascii="宋体" w:hAnsi="宋体"/>
          <w:snapToGrid w:val="0"/>
        </w:rPr>
      </w:pPr>
      <w:r>
        <w:rPr>
          <w:rFonts w:ascii="宋体" w:hAnsi="宋体"/>
          <w:snapToGrid w:val="0"/>
        </w:rPr>
        <w:t>1.</w:t>
      </w:r>
      <w:r>
        <w:rPr>
          <w:rFonts w:ascii="宋体" w:hAnsi="宋体" w:hint="eastAsia"/>
          <w:snapToGrid w:val="0"/>
        </w:rPr>
        <w:t>心电图显示房室搏动彼此独立，心室率</w:t>
      </w:r>
      <w:r>
        <w:rPr>
          <w:rFonts w:hint="eastAsia"/>
          <w:b/>
        </w:rPr>
        <w:t>＜</w:t>
      </w:r>
      <w:r>
        <w:rPr>
          <w:rFonts w:ascii="宋体" w:hAnsi="宋体"/>
          <w:snapToGrid w:val="0"/>
        </w:rPr>
        <w:t>50次/分钟；</w:t>
      </w:r>
    </w:p>
    <w:p w14:paraId="34C34D4D" w14:textId="77777777" w:rsidR="008F265F" w:rsidRDefault="00A542E4">
      <w:pPr>
        <w:autoSpaceDE w:val="0"/>
        <w:autoSpaceDN w:val="0"/>
        <w:adjustRightInd w:val="0"/>
        <w:ind w:firstLineChars="200" w:firstLine="420"/>
        <w:rPr>
          <w:rFonts w:ascii="宋体" w:hAnsi="宋体"/>
          <w:snapToGrid w:val="0"/>
        </w:rPr>
      </w:pPr>
      <w:r>
        <w:rPr>
          <w:rFonts w:ascii="宋体" w:hAnsi="宋体" w:hint="eastAsia"/>
          <w:snapToGrid w:val="0"/>
        </w:rPr>
        <w:t>2</w:t>
      </w:r>
      <w:r>
        <w:rPr>
          <w:rFonts w:ascii="宋体" w:hAnsi="宋体"/>
          <w:snapToGrid w:val="0"/>
        </w:rPr>
        <w:t>.</w:t>
      </w:r>
      <w:r>
        <w:rPr>
          <w:rFonts w:ascii="宋体" w:hAnsi="宋体" w:hint="eastAsia"/>
          <w:snapToGrid w:val="0"/>
        </w:rPr>
        <w:t>出现阿</w:t>
      </w:r>
      <w:r>
        <w:rPr>
          <w:rFonts w:ascii="宋体" w:hAnsi="宋体"/>
          <w:snapToGrid w:val="0"/>
        </w:rPr>
        <w:t>-斯综合征或心力衰竭的表现；</w:t>
      </w:r>
    </w:p>
    <w:p w14:paraId="437942BD" w14:textId="77777777" w:rsidR="008F265F" w:rsidRDefault="00A542E4">
      <w:pPr>
        <w:autoSpaceDE w:val="0"/>
        <w:autoSpaceDN w:val="0"/>
        <w:adjustRightInd w:val="0"/>
        <w:ind w:firstLineChars="200" w:firstLine="420"/>
        <w:rPr>
          <w:rFonts w:ascii="宋体" w:hAnsi="宋体"/>
          <w:snapToGrid w:val="0"/>
        </w:rPr>
      </w:pPr>
      <w:r>
        <w:rPr>
          <w:rFonts w:ascii="宋体" w:hAnsi="宋体"/>
          <w:snapToGrid w:val="0"/>
        </w:rPr>
        <w:t>3.</w:t>
      </w:r>
      <w:r>
        <w:rPr>
          <w:rFonts w:ascii="宋体" w:hAnsi="宋体" w:hint="eastAsia"/>
          <w:snapToGrid w:val="0"/>
        </w:rPr>
        <w:t>必须持续性依赖心脏起搏器维持心脏正常功能，且已经放置永久性心脏起搏器。</w:t>
      </w:r>
    </w:p>
    <w:p w14:paraId="1E02163E"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严重癫痫</w:t>
      </w:r>
    </w:p>
    <w:p w14:paraId="511C0A3C"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诊断须由神经科或儿科专科医生根据典型临床症状和脑电图及头颅断层扫描（CT）、核磁共振检查（MRI）、正电子发射断层扫描（PET）等影像学检查做出。须提供180天以上的相关病历记录证明被保险人存在经抗癫痫药物治疗无效而反复发作的强直阵挛性发作或癫痫大发作，且实际实施了神经外科手术以治疗反复发作的癫痫。</w:t>
      </w:r>
    </w:p>
    <w:p w14:paraId="3BC1851A" w14:textId="77777777" w:rsidR="008F265F" w:rsidRPr="00FD5F2C" w:rsidRDefault="00A542E4">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发热性惊厥以及没有全身性发作的失神发作（癫痫小发作）不在保障范围内。</w:t>
      </w:r>
    </w:p>
    <w:p w14:paraId="0A1C001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严重脊髓血管病后遗症</w:t>
      </w:r>
    </w:p>
    <w:p w14:paraId="6F3CAE20"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脊髓血管的突发病变引起脊髓梗塞或脊髓出血，导致永久性不可逆的神经系统功能损害，表现为截瘫或四肢瘫。永久性不可逆的神经系统功能损害指疾病确诊180天后，仍然遗留后遗症并且无法独立完成下列基本日常生活活动之一：</w:t>
      </w:r>
    </w:p>
    <w:p w14:paraId="05F0E2D0" w14:textId="77777777" w:rsidR="008F265F" w:rsidRDefault="00A542E4">
      <w:pPr>
        <w:autoSpaceDE w:val="0"/>
        <w:autoSpaceDN w:val="0"/>
        <w:adjustRightInd w:val="0"/>
        <w:ind w:firstLineChars="200" w:firstLine="420"/>
        <w:rPr>
          <w:rFonts w:ascii="宋体" w:hAnsi="宋体"/>
          <w:snapToGrid w:val="0"/>
        </w:rPr>
      </w:pPr>
      <w:r>
        <w:rPr>
          <w:rFonts w:ascii="宋体" w:hAnsi="宋体"/>
          <w:snapToGrid w:val="0"/>
        </w:rPr>
        <w:t>1.</w:t>
      </w:r>
      <w:r>
        <w:rPr>
          <w:rFonts w:ascii="宋体" w:hAnsi="宋体" w:hint="eastAsia"/>
          <w:snapToGrid w:val="0"/>
        </w:rPr>
        <w:t>移动：自己从一个房间到另一个房间；</w:t>
      </w:r>
    </w:p>
    <w:p w14:paraId="0539E94F" w14:textId="77777777" w:rsidR="008F265F" w:rsidRDefault="00A542E4">
      <w:pPr>
        <w:autoSpaceDE w:val="0"/>
        <w:autoSpaceDN w:val="0"/>
        <w:adjustRightInd w:val="0"/>
        <w:ind w:firstLineChars="200" w:firstLine="420"/>
        <w:rPr>
          <w:rFonts w:ascii="宋体" w:hAnsi="宋体"/>
          <w:snapToGrid w:val="0"/>
        </w:rPr>
      </w:pPr>
      <w:r>
        <w:rPr>
          <w:rFonts w:ascii="宋体" w:hAnsi="宋体"/>
          <w:snapToGrid w:val="0"/>
        </w:rPr>
        <w:t>2.</w:t>
      </w:r>
      <w:r>
        <w:rPr>
          <w:rFonts w:ascii="宋体" w:hAnsi="宋体" w:hint="eastAsia"/>
          <w:snapToGrid w:val="0"/>
        </w:rPr>
        <w:t>进食：自己从已准备好的碗或碟中取食物放入口中。</w:t>
      </w:r>
    </w:p>
    <w:p w14:paraId="19B82177"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肺孢子菌肺炎</w:t>
      </w:r>
    </w:p>
    <w:p w14:paraId="47E89AB0"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指由肺孢子菌引起的间质性浆细胞性肺炎，且满足下列全部条件：</w:t>
      </w:r>
    </w:p>
    <w:p w14:paraId="41831E37"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第一秒末用力呼气量（FEV1）小于1升；</w:t>
      </w:r>
    </w:p>
    <w:p w14:paraId="5E2AFA5F"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气道内阻力增加，至少达到0.5kPa/L/s；</w:t>
      </w:r>
    </w:p>
    <w:p w14:paraId="31D3F8E9"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Pr>
          <w:rFonts w:ascii="宋体" w:hAnsi="宋体" w:cs="Arial" w:hint="eastAsia"/>
          <w:snapToGrid w:val="0"/>
          <w:color w:val="000000"/>
        </w:rPr>
        <w:t>残气容积占肺总量（TLC）的60%以上；</w:t>
      </w:r>
    </w:p>
    <w:p w14:paraId="2C00D9CA"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4.</w:t>
      </w:r>
      <w:r>
        <w:rPr>
          <w:rFonts w:ascii="宋体" w:hAnsi="宋体" w:cs="Arial" w:hint="eastAsia"/>
          <w:snapToGrid w:val="0"/>
          <w:color w:val="000000"/>
        </w:rPr>
        <w:t>胸内气体容积升高，超过基值的170%；</w:t>
      </w:r>
    </w:p>
    <w:p w14:paraId="37AFD760"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5.</w:t>
      </w:r>
      <w:r>
        <w:rPr>
          <w:rFonts w:hint="eastAsia"/>
          <w:b/>
          <w:bCs/>
        </w:rPr>
        <w:t xml:space="preserve"> </w:t>
      </w:r>
      <w:r>
        <w:rPr>
          <w:rFonts w:asciiTheme="majorEastAsia" w:eastAsiaTheme="majorEastAsia" w:hAnsiTheme="majorEastAsia"/>
          <w:bCs/>
        </w:rPr>
        <w:t>PaO</w:t>
      </w:r>
      <w:r>
        <w:rPr>
          <w:rFonts w:asciiTheme="majorEastAsia" w:eastAsiaTheme="majorEastAsia" w:hAnsiTheme="majorEastAsia"/>
          <w:bCs/>
          <w:vertAlign w:val="subscript"/>
        </w:rPr>
        <w:t>2</w:t>
      </w:r>
      <w:r>
        <w:rPr>
          <w:rFonts w:asciiTheme="majorEastAsia" w:eastAsiaTheme="majorEastAsia" w:hAnsiTheme="majorEastAsia" w:hint="eastAsia"/>
        </w:rPr>
        <w:t>＜</w:t>
      </w:r>
      <w:r>
        <w:rPr>
          <w:rFonts w:asciiTheme="majorEastAsia" w:eastAsiaTheme="majorEastAsia" w:hAnsiTheme="majorEastAsia"/>
        </w:rPr>
        <w:t>60mmHg，</w:t>
      </w:r>
      <w:r>
        <w:rPr>
          <w:rFonts w:asciiTheme="majorEastAsia" w:eastAsiaTheme="majorEastAsia" w:hAnsiTheme="majorEastAsia"/>
          <w:bCs/>
        </w:rPr>
        <w:t>PaCO</w:t>
      </w:r>
      <w:r>
        <w:rPr>
          <w:rFonts w:asciiTheme="majorEastAsia" w:eastAsiaTheme="majorEastAsia" w:hAnsiTheme="majorEastAsia"/>
          <w:bCs/>
          <w:vertAlign w:val="subscript"/>
        </w:rPr>
        <w:t>2</w:t>
      </w:r>
      <w:r>
        <w:rPr>
          <w:rFonts w:asciiTheme="majorEastAsia" w:eastAsiaTheme="majorEastAsia" w:hAnsiTheme="majorEastAsia" w:hint="eastAsia"/>
        </w:rPr>
        <w:t>＞</w:t>
      </w:r>
      <w:r>
        <w:rPr>
          <w:rFonts w:asciiTheme="majorEastAsia" w:eastAsiaTheme="majorEastAsia" w:hAnsiTheme="majorEastAsia"/>
        </w:rPr>
        <w:t>50mmHg。</w:t>
      </w:r>
    </w:p>
    <w:p w14:paraId="6FE6522B"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严重肺结节病</w:t>
      </w:r>
    </w:p>
    <w:p w14:paraId="71EB22B8"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结节病是一种原因未明的慢性肉芽肿病，可侵犯全身多个器官，以肺和淋巴结受累最为常见。严重肺结节病表现为肺的广泛纤维化导致慢性呼吸功能衰竭。必须满足下列所有条件：</w:t>
      </w:r>
    </w:p>
    <w:p w14:paraId="649FEAA5"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肺结节病的X线分期为IV期，即广泛肺纤维化；</w:t>
      </w:r>
    </w:p>
    <w:p w14:paraId="65F9BB3E"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永久不可逆性的慢性呼吸功能衰竭，临床持续180天动脉血氧分压（PaO</w:t>
      </w:r>
      <w:r>
        <w:rPr>
          <w:rFonts w:ascii="宋体" w:hAnsi="宋体" w:cs="Arial"/>
          <w:snapToGrid w:val="0"/>
          <w:color w:val="000000"/>
          <w:vertAlign w:val="subscript"/>
        </w:rPr>
        <w:t>2</w:t>
      </w:r>
      <w:r>
        <w:rPr>
          <w:rFonts w:ascii="宋体" w:hAnsi="宋体" w:cs="Arial" w:hint="eastAsia"/>
          <w:snapToGrid w:val="0"/>
          <w:color w:val="000000"/>
        </w:rPr>
        <w:t>）</w:t>
      </w:r>
      <w:r>
        <w:rPr>
          <w:rFonts w:hint="eastAsia"/>
          <w:b/>
        </w:rPr>
        <w:t>＜</w:t>
      </w:r>
      <w:r>
        <w:rPr>
          <w:rFonts w:ascii="宋体" w:hAnsi="宋体" w:cs="Arial" w:hint="eastAsia"/>
          <w:snapToGrid w:val="0"/>
          <w:color w:val="000000"/>
        </w:rPr>
        <w:t>50mmHg和动脉血氧饱和度（Sa</w:t>
      </w:r>
      <w:r>
        <w:rPr>
          <w:rFonts w:asciiTheme="majorEastAsia" w:eastAsiaTheme="majorEastAsia" w:hAnsiTheme="majorEastAsia" w:hint="eastAsia"/>
          <w:bCs/>
        </w:rPr>
        <w:t>O</w:t>
      </w:r>
      <w:r>
        <w:rPr>
          <w:rFonts w:asciiTheme="majorEastAsia" w:eastAsiaTheme="majorEastAsia" w:hAnsiTheme="majorEastAsia"/>
          <w:bCs/>
          <w:vertAlign w:val="subscript"/>
        </w:rPr>
        <w:t>2</w:t>
      </w:r>
      <w:r>
        <w:rPr>
          <w:rFonts w:ascii="宋体" w:hAnsi="宋体" w:cs="Arial" w:hint="eastAsia"/>
          <w:snapToGrid w:val="0"/>
          <w:color w:val="000000"/>
        </w:rPr>
        <w:t>）</w:t>
      </w:r>
      <w:r>
        <w:rPr>
          <w:rFonts w:hint="eastAsia"/>
          <w:b/>
        </w:rPr>
        <w:t>＜</w:t>
      </w:r>
      <w:r>
        <w:rPr>
          <w:rFonts w:ascii="宋体" w:hAnsi="宋体" w:cs="Arial" w:hint="eastAsia"/>
          <w:snapToGrid w:val="0"/>
          <w:color w:val="000000"/>
        </w:rPr>
        <w:t>80%。</w:t>
      </w:r>
    </w:p>
    <w:p w14:paraId="38912AAA"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结核性脊髓炎</w:t>
      </w:r>
    </w:p>
    <w:p w14:paraId="341EA03D"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因结核杆菌引起的脊髓炎，导致永久性神经系统功能中度障碍，即：疾病确诊初次发生180天后，仍遗留下列一种或一种以上障碍：</w:t>
      </w:r>
    </w:p>
    <w:p w14:paraId="15F60DE4"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一肢或一肢以上肢体肌力3级或3级以下的运动功能障碍；</w:t>
      </w:r>
    </w:p>
    <w:p w14:paraId="1B7FB37B"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自主生活能力部分丧失，无法独立完成六项基本日常生活活动中的二项或二项以上。</w:t>
      </w:r>
    </w:p>
    <w:p w14:paraId="0D152C62"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该诊断必须由本公司指定或认可的医疗机构的神经专科医生证实。并必须由适当的检查证明为结核性脊髓炎。</w:t>
      </w:r>
    </w:p>
    <w:p w14:paraId="00547602"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脊髓灰质炎导致的瘫痪</w:t>
      </w:r>
    </w:p>
    <w:p w14:paraId="433FEC5D"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脊髓灰质炎是由于脊髓灰质炎病毒感染所致的瘫痪性疾病，临床表现为运动功能损害或呼吸无力。脊髓灰质炎必须明确诊断。本主险合同仅对脊髓灰质炎造成的神经系统功能损害导致被保险人一肢或一肢以上肢体机能永久完全丧失的情况予以理赔。肢体机能永久完全丧失，指疾病确诊180天后或意外伤害发生180天后，每肢三大关节中的两大关节仍然完全僵硬，或不能随意识活动。</w:t>
      </w:r>
    </w:p>
    <w:p w14:paraId="065B8A20" w14:textId="77777777" w:rsidR="008F265F" w:rsidRDefault="00A542E4">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脊髓内肿瘤</w:t>
      </w:r>
    </w:p>
    <w:p w14:paraId="00CEA36D"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指脊髓内的非恶性肿瘤。肿瘤须导致脊髓损害并导致瘫痪，并须满足下列全部条件：</w:t>
      </w:r>
    </w:p>
    <w:p w14:paraId="1260501C"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实际接受了肿瘤切除的手术；</w:t>
      </w:r>
    </w:p>
    <w:p w14:paraId="13EE0EE7"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2.手术180日后，MRI证实仍遗留神经系统损害，且自主生活能力完全丧失，无法独立完成六项基本日常生活活动中的三项或三项以上。</w:t>
      </w:r>
    </w:p>
    <w:p w14:paraId="2EBE72E6" w14:textId="77777777" w:rsidR="008F265F" w:rsidRDefault="00A542E4">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FD5F2C">
        <w:rPr>
          <w:rFonts w:ascii="宋体" w:hAnsi="宋体" w:cs="Arial" w:hint="eastAsia"/>
          <w:snapToGrid w:val="0"/>
          <w:color w:val="000000"/>
          <w:shd w:val="pct15" w:color="auto" w:fill="FFFFFF"/>
        </w:rPr>
        <w:t>非脊髓内的其他椎管内肿瘤、脊柱肿瘤、神经纤维瘤不在保障范围内。</w:t>
      </w:r>
    </w:p>
    <w:p w14:paraId="5B4A9B83" w14:textId="77777777" w:rsidR="008F265F" w:rsidRDefault="00A542E4">
      <w:pPr>
        <w:pStyle w:val="21"/>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hint="eastAsia"/>
          <w:snapToGrid w:val="0"/>
          <w:color w:val="000000"/>
        </w:rPr>
        <w:t>阵发性睡眠性血红蛋白尿</w:t>
      </w:r>
      <w:r>
        <w:rPr>
          <w:rFonts w:hint="eastAsia"/>
        </w:rPr>
        <w:t>——</w:t>
      </w:r>
      <w:r w:rsidRPr="00FD5F2C">
        <w:rPr>
          <w:rFonts w:ascii="宋体" w:hAnsi="宋体" w:cs="Arial" w:hint="eastAsia"/>
          <w:snapToGrid w:val="0"/>
          <w:color w:val="000000"/>
          <w:shd w:val="pct15" w:color="auto" w:fill="FFFFFF"/>
        </w:rPr>
        <w:t>二十二周岁前理赔</w:t>
      </w:r>
    </w:p>
    <w:p w14:paraId="583CCA64"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后天获得性溶血性疾病，该病源于造血干细胞PIG-A基因突变引起一组通过糖肌醇磷脂锚连在细胞表面的膜蛋白的缺失，导致细胞性能发生变化。其临床表现为不同程度的发作性血管内溶血、阵发性血红蛋白尿、骨髓造血功能衰竭和静脉血栓的形成。必须经专科医生明确诊断，并伴有相关嗜水气单胞菌溶素变异体（FLAER）检查结果证实。</w:t>
      </w:r>
    </w:p>
    <w:p w14:paraId="2F2D3FBC" w14:textId="77777777" w:rsidR="008F265F" w:rsidRDefault="00A542E4">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FD5F2C">
        <w:rPr>
          <w:rFonts w:ascii="宋体" w:hAnsi="宋体" w:cs="Arial" w:hint="eastAsia"/>
          <w:snapToGrid w:val="0"/>
          <w:color w:val="000000"/>
          <w:shd w:val="pct15" w:color="auto" w:fill="FFFFFF"/>
        </w:rPr>
        <w:t>被保险人确诊时年龄必须在二十二周岁（含）以下。</w:t>
      </w:r>
    </w:p>
    <w:p w14:paraId="75F2EE3A" w14:textId="77777777" w:rsidR="008F265F" w:rsidRDefault="00A542E4">
      <w:pPr>
        <w:pStyle w:val="21"/>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hint="eastAsia"/>
          <w:snapToGrid w:val="0"/>
          <w:color w:val="000000"/>
        </w:rPr>
        <w:t>黑斑息肉综合征</w:t>
      </w:r>
    </w:p>
    <w:p w14:paraId="03AA2C99"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黑斑息肉综合征（Peutz-Jeghers综合征）又称色素沉着息肉综合征，是常染色体显性遗传病。临床表现为面部、口唇、颊粘膜、手指脚趾色素沉着，以及肠道多发性息肉。须经专科医生明确诊断，并因合并肠套叠或肠梗阻已经实施了手术治疗。</w:t>
      </w:r>
    </w:p>
    <w:p w14:paraId="327D9112" w14:textId="77777777" w:rsidR="008F265F" w:rsidRDefault="00A542E4">
      <w:pPr>
        <w:autoSpaceDE w:val="0"/>
        <w:autoSpaceDN w:val="0"/>
        <w:adjustRightInd w:val="0"/>
        <w:spacing w:beforeLines="50" w:before="156"/>
        <w:ind w:firstLineChars="200" w:firstLine="420"/>
        <w:rPr>
          <w:rFonts w:ascii="宋体" w:hAnsi="宋体"/>
          <w:snapToGrid w:val="0"/>
        </w:rPr>
      </w:pPr>
      <w:r>
        <w:rPr>
          <w:rFonts w:ascii="宋体" w:hAnsi="宋体" w:cs="Arial" w:hint="eastAsia"/>
          <w:snapToGrid w:val="0"/>
          <w:color w:val="000000"/>
        </w:rPr>
        <w:t>我们承担本项疾病责任不受本主险合同责任免除中“遗传性疾病，先天性畸形、变形或染色体异常”的限制。</w:t>
      </w:r>
    </w:p>
    <w:p w14:paraId="16332ED1" w14:textId="77777777" w:rsidR="008F265F" w:rsidRDefault="00A542E4">
      <w:pPr>
        <w:pStyle w:val="21"/>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snapToGrid w:val="0"/>
          <w:color w:val="000000"/>
        </w:rPr>
        <w:t>POEMS</w:t>
      </w:r>
      <w:r>
        <w:rPr>
          <w:rFonts w:ascii="宋体" w:hAnsi="宋体" w:cs="Arial" w:hint="eastAsia"/>
          <w:snapToGrid w:val="0"/>
          <w:color w:val="000000"/>
        </w:rPr>
        <w:t>综合征</w:t>
      </w:r>
      <w:r>
        <w:rPr>
          <w:rFonts w:ascii="宋体" w:hAnsi="宋体" w:cs="Arial"/>
          <w:snapToGrid w:val="0"/>
          <w:color w:val="000000"/>
        </w:rPr>
        <w:t xml:space="preserve"> </w:t>
      </w:r>
    </w:p>
    <w:p w14:paraId="4497C225"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POEMS综合征是一种罕见的单克隆浆细胞疾病。名称中的五个英文字母分别代表了疾病的5种主要表现，P：多发性神经病；O：脏器肿大；E：内分泌异常；M：单克隆免疫球蛋白；S：皮肤改变。</w:t>
      </w:r>
    </w:p>
    <w:p w14:paraId="0CFFE474"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须经专科医生确诊，且必须合并存在下列全部情形：</w:t>
      </w:r>
    </w:p>
    <w:p w14:paraId="4FEBF5E7"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1.多发性周围神经病；</w:t>
      </w:r>
    </w:p>
    <w:p w14:paraId="2A458EDD"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2.单克隆浆细胞增殖性疾病。</w:t>
      </w:r>
    </w:p>
    <w:p w14:paraId="498675FF"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3.高水平血清或血浆血管内皮生长因子（VEGF）；</w:t>
      </w:r>
    </w:p>
    <w:p w14:paraId="46699CF1"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4.Castleman病；</w:t>
      </w:r>
    </w:p>
    <w:p w14:paraId="5CB69334"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5.硬化性骨病。</w:t>
      </w:r>
    </w:p>
    <w:p w14:paraId="633A20EF" w14:textId="77777777" w:rsidR="008F265F" w:rsidRDefault="00A542E4">
      <w:pPr>
        <w:pStyle w:val="21"/>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hint="eastAsia"/>
          <w:snapToGrid w:val="0"/>
          <w:color w:val="000000"/>
        </w:rPr>
        <w:t>进行性家族性肝内胆汁淤积症</w:t>
      </w:r>
      <w:r>
        <w:rPr>
          <w:rFonts w:ascii="宋体" w:hAnsi="宋体" w:cs="Arial"/>
          <w:snapToGrid w:val="0"/>
          <w:color w:val="000000"/>
        </w:rPr>
        <w:t xml:space="preserve"> </w:t>
      </w:r>
    </w:p>
    <w:p w14:paraId="480E5202" w14:textId="77777777" w:rsidR="008F265F" w:rsidRDefault="00A542E4">
      <w:pPr>
        <w:spacing w:beforeLines="50" w:before="156"/>
        <w:ind w:firstLineChars="200" w:firstLine="420"/>
        <w:rPr>
          <w:rFonts w:ascii="宋体" w:hAnsi="宋体" w:cs="Arial"/>
          <w:snapToGrid w:val="0"/>
          <w:color w:val="000000"/>
        </w:rPr>
      </w:pPr>
      <w:r>
        <w:rPr>
          <w:rFonts w:ascii="宋体" w:hAnsi="宋体" w:cs="Arial" w:hint="eastAsia"/>
          <w:snapToGrid w:val="0"/>
          <w:color w:val="000000"/>
        </w:rPr>
        <w:t>进行性家族性肝内胆汁淤积症（progressive familial intrahepatic cholestasis，PFIC）是一组常染色体隐性遗传性疾病。因基因突变导致胆汁排泌障碍，发生肝内胆汁淤积，主要临床表现为进行性的黄疸、严重瘙痒、伴有不同程度生长多重障碍，肝肿大、脂溶性维生素缺乏为特点，最终可发展为肝衰竭。须经专科医生明确诊断，并有生化学检测、肝脏影像学、肝脏病理学及基因检测结果证实，且实际实施了肝脏移植手术治疗。</w:t>
      </w:r>
    </w:p>
    <w:p w14:paraId="686CE0C1" w14:textId="77777777" w:rsidR="008F265F" w:rsidRPr="00FD5F2C" w:rsidRDefault="00A542E4">
      <w:pPr>
        <w:spacing w:beforeLines="50" w:before="156"/>
        <w:ind w:firstLineChars="200" w:firstLine="420"/>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其他原因所致的胆汁淤积性肝病不在本保障范围内。</w:t>
      </w:r>
    </w:p>
    <w:p w14:paraId="33F737A3" w14:textId="77777777" w:rsidR="008F265F" w:rsidRDefault="00A542E4">
      <w:pPr>
        <w:autoSpaceDE w:val="0"/>
        <w:autoSpaceDN w:val="0"/>
        <w:adjustRightInd w:val="0"/>
        <w:spacing w:beforeLines="50" w:before="156"/>
        <w:ind w:firstLineChars="200" w:firstLine="420"/>
        <w:rPr>
          <w:rFonts w:ascii="宋体" w:hAnsi="宋体"/>
          <w:snapToGrid w:val="0"/>
        </w:rPr>
      </w:pPr>
      <w:r>
        <w:rPr>
          <w:rFonts w:ascii="宋体" w:hAnsi="宋体" w:cs="Arial" w:hint="eastAsia"/>
          <w:snapToGrid w:val="0"/>
          <w:color w:val="000000"/>
        </w:rPr>
        <w:t>我们承担本项疾病责任不受本主险合同责任免除中“遗传性疾病，先天性畸形、变形或染色体异常”的限制。</w:t>
      </w:r>
    </w:p>
    <w:p w14:paraId="2E1E34CB" w14:textId="77777777" w:rsidR="008F265F" w:rsidRDefault="00A542E4">
      <w:pPr>
        <w:pStyle w:val="21"/>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hint="eastAsia"/>
          <w:snapToGrid w:val="0"/>
          <w:color w:val="000000"/>
        </w:rPr>
        <w:t>谷固醇血症</w:t>
      </w:r>
      <w:r>
        <w:rPr>
          <w:rFonts w:ascii="宋体" w:hAnsi="宋体" w:cs="Arial"/>
          <w:snapToGrid w:val="0"/>
          <w:color w:val="000000"/>
        </w:rPr>
        <w:t xml:space="preserve"> </w:t>
      </w:r>
    </w:p>
    <w:p w14:paraId="57DC1BA6"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又称植物固醇血症或豆固醇血症（phytosterolemia），是一种罕见的常染色体隐性遗传的脂质代谢异常疾病。过量植物固醇被吸收后，刺激巨噬细胞产生炎症因子，促进泡沫细胞和斑块的形成。临床表现为肌腱或皮下的多发性黄瘤、动脉粥样硬化、早发性冠心病、肝损害和关节炎等。必须经专科医生明确诊断，并须满足以下所有条件：</w:t>
      </w:r>
    </w:p>
    <w:p w14:paraId="321D8938"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1.基因检测发现ABCG5或ABCG8变异；</w:t>
      </w:r>
    </w:p>
    <w:p w14:paraId="322601FC"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2.血液谷固醇、豆固醇浓度明显增高；</w:t>
      </w:r>
    </w:p>
    <w:p w14:paraId="7726F5D0"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3.血细胞形态检查发现口型细胞增多、巨大血小板和血小板减少三联征；</w:t>
      </w:r>
    </w:p>
    <w:p w14:paraId="2CB12187"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4.进行肝脏移植手术治疗。</w:t>
      </w:r>
    </w:p>
    <w:p w14:paraId="2260005A" w14:textId="77777777" w:rsidR="008F265F" w:rsidRPr="00FD5F2C" w:rsidRDefault="00A542E4">
      <w:pPr>
        <w:pStyle w:val="21"/>
        <w:spacing w:beforeLines="50" w:before="156"/>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家族性高胆固醇血症和其他类别的高胆固醇血症不在本保障范围内。</w:t>
      </w:r>
    </w:p>
    <w:p w14:paraId="57FA3B09" w14:textId="77777777" w:rsidR="008F265F" w:rsidRDefault="00A542E4">
      <w:pPr>
        <w:autoSpaceDE w:val="0"/>
        <w:autoSpaceDN w:val="0"/>
        <w:adjustRightInd w:val="0"/>
        <w:spacing w:beforeLines="50" w:before="156"/>
        <w:ind w:firstLineChars="200" w:firstLine="420"/>
        <w:rPr>
          <w:rFonts w:ascii="宋体" w:hAnsi="宋体"/>
          <w:snapToGrid w:val="0"/>
        </w:rPr>
      </w:pPr>
      <w:r>
        <w:rPr>
          <w:rFonts w:ascii="宋体" w:hAnsi="宋体" w:cs="Arial" w:hint="eastAsia"/>
          <w:snapToGrid w:val="0"/>
          <w:color w:val="000000"/>
        </w:rPr>
        <w:t>我们承担本项疾病责任不受本主险合同责任免除中“遗传性疾病，先天性畸形、变形或染色体异常”的限制。</w:t>
      </w:r>
    </w:p>
    <w:p w14:paraId="35B7A6E8" w14:textId="77777777" w:rsidR="008F265F" w:rsidRDefault="00A542E4">
      <w:pPr>
        <w:pStyle w:val="21"/>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snapToGrid w:val="0"/>
          <w:color w:val="000000"/>
        </w:rPr>
        <w:t>Castleman</w:t>
      </w:r>
      <w:r>
        <w:rPr>
          <w:rFonts w:ascii="宋体" w:hAnsi="宋体" w:cs="Arial" w:hint="eastAsia"/>
          <w:snapToGrid w:val="0"/>
          <w:color w:val="000000"/>
        </w:rPr>
        <w:t>病</w:t>
      </w:r>
      <w:r>
        <w:rPr>
          <w:rFonts w:ascii="宋体" w:hAnsi="宋体" w:cs="Arial"/>
          <w:snapToGrid w:val="0"/>
          <w:color w:val="000000"/>
        </w:rPr>
        <w:t xml:space="preserve"> </w:t>
      </w:r>
    </w:p>
    <w:p w14:paraId="618AD591"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Castleman病(Castleman disease，CD)又称巨大淋巴结增生或血管滤泡性淋巴组织增生，为一种慢性淋巴组织增生性疾病。本条款定义的CD必须符合如下所有条件：</w:t>
      </w:r>
    </w:p>
    <w:p w14:paraId="262FF9DD"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1.必须经淋巴结活检，并经专科医生明确诊断；</w:t>
      </w:r>
    </w:p>
    <w:p w14:paraId="19915320"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2.病理特征为明显的淋巴滤泡、血管及浆细胞呈不同程度的增生；</w:t>
      </w:r>
    </w:p>
    <w:p w14:paraId="772EC32B"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3.临床表现以身体2个或以上淋巴结区域受累（淋巴结短径需≥1cm)，并必须出现全身症状及多系统损害，如肾病综合征、淀粉样变、重症肌无力、周围神经病变、干燥症、紫癜等。</w:t>
      </w:r>
    </w:p>
    <w:p w14:paraId="580252F0" w14:textId="77777777" w:rsidR="008F265F" w:rsidRPr="00FD5F2C" w:rsidRDefault="00A542E4">
      <w:pPr>
        <w:pStyle w:val="21"/>
        <w:spacing w:beforeLines="50" w:before="156"/>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单中心型CD或因感染艾滋病病毒或患艾滋病期间导致的Castleman病不在保障范围内。</w:t>
      </w:r>
    </w:p>
    <w:p w14:paraId="6C34A703" w14:textId="77777777" w:rsidR="008F265F" w:rsidRDefault="00A542E4">
      <w:pPr>
        <w:pStyle w:val="21"/>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snapToGrid w:val="0"/>
          <w:color w:val="000000"/>
        </w:rPr>
        <w:t>Erdheim-Chester</w:t>
      </w:r>
      <w:r>
        <w:rPr>
          <w:rFonts w:ascii="宋体" w:hAnsi="宋体" w:cs="Arial" w:hint="eastAsia"/>
          <w:snapToGrid w:val="0"/>
          <w:color w:val="000000"/>
        </w:rPr>
        <w:t>病</w:t>
      </w:r>
      <w:r>
        <w:rPr>
          <w:rFonts w:ascii="宋体" w:hAnsi="宋体" w:cs="Arial"/>
          <w:snapToGrid w:val="0"/>
          <w:color w:val="000000"/>
        </w:rPr>
        <w:t xml:space="preserve"> </w:t>
      </w:r>
    </w:p>
    <w:p w14:paraId="3AF81886"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Erdheim-Chester病（ECD）是一种罕见的非朗格汉斯组织细胞增生症，也称为多发性骨硬化性组织细胞增生症。病变可累及骨骼系统和全身多个脏器，最常累及的部位是长骨的干骺端及骨干，可出现骨骼疼痛、发热，以及骨外如眼眶、心脏、血管、肺及胸膜、腹膜、肾脏等部位等临床表现。必须经专科医生明确诊断，且须满足以下所有条件：</w:t>
      </w:r>
    </w:p>
    <w:p w14:paraId="5AD19F06"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1.必须有影像学检查发现双侧下肢长骨髓腔对称性的硬化病变；</w:t>
      </w:r>
    </w:p>
    <w:p w14:paraId="36CE9AEC"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2.病变组织病理学检查发现镜下见病灶内大量泡沫样组织细胞浸润；</w:t>
      </w:r>
    </w:p>
    <w:p w14:paraId="2F1A1F3C" w14:textId="77777777" w:rsidR="008F265F" w:rsidRDefault="00A542E4">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3.电镜显示缺乏Birbeck颗粒。</w:t>
      </w:r>
    </w:p>
    <w:p w14:paraId="182D0FED" w14:textId="77777777" w:rsidR="008F265F" w:rsidRDefault="00A542E4">
      <w:pPr>
        <w:pStyle w:val="21"/>
        <w:spacing w:beforeLines="50" w:before="156"/>
        <w:rPr>
          <w:rFonts w:ascii="宋体" w:hAnsi="宋体" w:cs="Arial"/>
          <w:snapToGrid w:val="0"/>
          <w:color w:val="000000"/>
          <w:shd w:val="pct10" w:color="auto" w:fill="FFFFFF"/>
        </w:rPr>
      </w:pPr>
      <w:r w:rsidRPr="00FD5F2C">
        <w:rPr>
          <w:rFonts w:ascii="宋体" w:hAnsi="宋体" w:cs="Arial" w:hint="eastAsia"/>
          <w:snapToGrid w:val="0"/>
          <w:color w:val="000000"/>
          <w:shd w:val="pct15" w:color="auto" w:fill="FFFFFF"/>
        </w:rPr>
        <w:t>Rosai-Dorfman病（RDD）和朗格汉斯细胞组织细胞增生症（LCH）不在本保障范围内。</w:t>
      </w:r>
    </w:p>
    <w:p w14:paraId="13C8A362" w14:textId="77777777" w:rsidR="008F265F" w:rsidRDefault="00A542E4" w:rsidP="00992274">
      <w:pPr>
        <w:pStyle w:val="21"/>
        <w:numPr>
          <w:ilvl w:val="0"/>
          <w:numId w:val="3"/>
        </w:numPr>
        <w:autoSpaceDE w:val="0"/>
        <w:autoSpaceDN w:val="0"/>
        <w:adjustRightInd w:val="0"/>
        <w:spacing w:beforeLines="50" w:before="156"/>
        <w:ind w:left="851" w:firstLineChars="0" w:hanging="425"/>
        <w:rPr>
          <w:rFonts w:ascii="宋体" w:hAnsi="宋体" w:cs="Arial"/>
          <w:snapToGrid w:val="0"/>
          <w:color w:val="000000"/>
        </w:rPr>
      </w:pPr>
      <w:r>
        <w:rPr>
          <w:rFonts w:ascii="宋体" w:hAnsi="宋体" w:cs="Arial" w:hint="eastAsia"/>
          <w:snapToGrid w:val="0"/>
          <w:color w:val="000000"/>
        </w:rPr>
        <w:t>McCune-Albright综合征</w:t>
      </w:r>
      <w:r>
        <w:rPr>
          <w:rFonts w:ascii="宋体" w:hAnsi="宋体" w:cs="Arial"/>
          <w:snapToGrid w:val="0"/>
          <w:color w:val="000000"/>
        </w:rPr>
        <w:t xml:space="preserve"> </w:t>
      </w:r>
    </w:p>
    <w:p w14:paraId="1330A77E" w14:textId="77777777" w:rsidR="008F265F" w:rsidRDefault="00A542E4">
      <w:pPr>
        <w:pStyle w:val="21"/>
        <w:spacing w:beforeLines="50" w:before="156"/>
        <w:rPr>
          <w:rFonts w:ascii="宋体" w:hAnsi="宋体" w:cs="Arial"/>
          <w:snapToGrid w:val="0"/>
          <w:color w:val="000000"/>
        </w:rPr>
      </w:pPr>
      <w:r>
        <w:rPr>
          <w:rFonts w:ascii="宋体" w:hAnsi="宋体" w:cs="Arial" w:hint="eastAsia"/>
          <w:snapToGrid w:val="0"/>
          <w:color w:val="000000"/>
        </w:rPr>
        <w:t>McCune-Albright综合征是一种较少见的先天性内分泌障碍临床综合征，属鸟嘌呤核苷酸结合蛋白病（G蛋白病）。临床表现主要为下列三联征：</w:t>
      </w:r>
    </w:p>
    <w:p w14:paraId="4C964BCA" w14:textId="77777777" w:rsidR="008F265F" w:rsidRDefault="00A542E4">
      <w:pPr>
        <w:pStyle w:val="21"/>
        <w:rPr>
          <w:rFonts w:ascii="宋体" w:hAnsi="宋体" w:cs="Arial"/>
          <w:snapToGrid w:val="0"/>
          <w:color w:val="000000"/>
        </w:rPr>
      </w:pPr>
      <w:r>
        <w:rPr>
          <w:rFonts w:ascii="宋体" w:hAnsi="宋体" w:cs="Arial" w:hint="eastAsia"/>
          <w:snapToGrid w:val="0"/>
          <w:color w:val="000000"/>
        </w:rPr>
        <w:t>1.一个或多个内分泌腺增生或腺瘤引起的自主性功能亢进，表现为第二性征早发育、月经早来潮、血雌激素水平增高而促性腺激素水平低下；</w:t>
      </w:r>
    </w:p>
    <w:p w14:paraId="3CE65502" w14:textId="77777777" w:rsidR="008F265F" w:rsidRDefault="00A542E4">
      <w:pPr>
        <w:pStyle w:val="21"/>
        <w:rPr>
          <w:rFonts w:ascii="宋体" w:hAnsi="宋体" w:cs="Arial"/>
          <w:snapToGrid w:val="0"/>
          <w:color w:val="000000"/>
        </w:rPr>
      </w:pPr>
      <w:r>
        <w:rPr>
          <w:rFonts w:ascii="宋体" w:hAnsi="宋体" w:cs="Arial" w:hint="eastAsia"/>
          <w:snapToGrid w:val="0"/>
          <w:color w:val="000000"/>
        </w:rPr>
        <w:t>2.多发性骨纤维异样增殖，多累及颅面骨和长骨，表现为局部疼痛和骨骼畸形，也可发生病理性骨折及局部增殖压迫症状，如颅底或眼眶骨纤维化引起视神经孔狭窄导致视力障碍或失明；</w:t>
      </w:r>
    </w:p>
    <w:p w14:paraId="6B57F249" w14:textId="77777777" w:rsidR="008F265F" w:rsidRDefault="00A542E4">
      <w:pPr>
        <w:pStyle w:val="21"/>
        <w:rPr>
          <w:rFonts w:ascii="宋体" w:hAnsi="宋体" w:cs="Arial"/>
          <w:snapToGrid w:val="0"/>
          <w:color w:val="000000"/>
        </w:rPr>
      </w:pPr>
      <w:r>
        <w:rPr>
          <w:rFonts w:ascii="宋体" w:hAnsi="宋体" w:cs="Arial" w:hint="eastAsia"/>
          <w:snapToGrid w:val="0"/>
          <w:color w:val="000000"/>
        </w:rPr>
        <w:t>3.边缘不规则的皮肤咖啡色素斑。须经专科医生明确诊断，发生颅面骨、长骨、椎骨等病理性骨折至少1处，且病变组织证实GNAS基因突变。</w:t>
      </w:r>
    </w:p>
    <w:p w14:paraId="27F6BC14" w14:textId="77777777" w:rsidR="008F265F" w:rsidRDefault="00A542E4" w:rsidP="00992274">
      <w:pPr>
        <w:pStyle w:val="21"/>
        <w:numPr>
          <w:ilvl w:val="0"/>
          <w:numId w:val="3"/>
        </w:numPr>
        <w:autoSpaceDE w:val="0"/>
        <w:autoSpaceDN w:val="0"/>
        <w:adjustRightInd w:val="0"/>
        <w:spacing w:beforeLines="50" w:before="156"/>
        <w:ind w:left="851" w:firstLineChars="0" w:hanging="425"/>
        <w:rPr>
          <w:rFonts w:ascii="宋体" w:hAnsi="宋体" w:cs="Arial"/>
          <w:snapToGrid w:val="0"/>
          <w:color w:val="000000"/>
        </w:rPr>
      </w:pPr>
      <w:r>
        <w:rPr>
          <w:rFonts w:ascii="宋体" w:hAnsi="宋体" w:cs="Arial" w:hint="eastAsia"/>
          <w:snapToGrid w:val="0"/>
          <w:color w:val="000000"/>
        </w:rPr>
        <w:t>多灶性运动神经病</w:t>
      </w:r>
      <w:r>
        <w:rPr>
          <w:rFonts w:ascii="宋体" w:hAnsi="宋体" w:cs="Arial"/>
          <w:snapToGrid w:val="0"/>
          <w:color w:val="000000"/>
        </w:rPr>
        <w:t xml:space="preserve"> </w:t>
      </w:r>
    </w:p>
    <w:p w14:paraId="3F9A11EC" w14:textId="77777777" w:rsidR="008F265F" w:rsidRDefault="00A542E4">
      <w:pPr>
        <w:pStyle w:val="21"/>
        <w:spacing w:beforeLines="50" w:before="156"/>
        <w:rPr>
          <w:rFonts w:ascii="宋体" w:hAnsi="宋体" w:cs="Arial"/>
          <w:snapToGrid w:val="0"/>
          <w:color w:val="000000"/>
        </w:rPr>
      </w:pPr>
      <w:r>
        <w:rPr>
          <w:rFonts w:ascii="宋体" w:hAnsi="宋体" w:cs="Arial" w:hint="eastAsia"/>
          <w:snapToGrid w:val="0"/>
          <w:color w:val="000000"/>
        </w:rPr>
        <w:t>多灶性运动神经病（MMN）又称多灶性脱髓鞘性运动神经病，是一种以运动神经受累为主的慢性多发性单神经病，是少见的脱髓鞘性周围神经病。须经专科医生明确诊断，并须满足下列所有条件：</w:t>
      </w:r>
    </w:p>
    <w:p w14:paraId="14AE6F97" w14:textId="77777777" w:rsidR="008F265F" w:rsidRDefault="00A542E4">
      <w:pPr>
        <w:pStyle w:val="21"/>
        <w:rPr>
          <w:rFonts w:ascii="宋体" w:hAnsi="宋体" w:cs="Arial"/>
          <w:snapToGrid w:val="0"/>
          <w:color w:val="000000"/>
        </w:rPr>
      </w:pPr>
      <w:r>
        <w:rPr>
          <w:rFonts w:ascii="宋体" w:hAnsi="宋体" w:cs="Arial" w:hint="eastAsia"/>
          <w:snapToGrid w:val="0"/>
          <w:color w:val="000000"/>
        </w:rPr>
        <w:t>1.临床表现为以周围神经分布的慢性进行性肌无力、肌萎缩及病状左右不对称；</w:t>
      </w:r>
    </w:p>
    <w:p w14:paraId="02FBBA11" w14:textId="77777777" w:rsidR="008F265F" w:rsidRDefault="00A542E4">
      <w:pPr>
        <w:pStyle w:val="21"/>
        <w:rPr>
          <w:rFonts w:ascii="宋体" w:hAnsi="宋体" w:cs="Arial"/>
          <w:snapToGrid w:val="0"/>
          <w:color w:val="000000"/>
        </w:rPr>
      </w:pPr>
      <w:r>
        <w:rPr>
          <w:rFonts w:ascii="宋体" w:hAnsi="宋体" w:cs="Arial" w:hint="eastAsia"/>
          <w:snapToGrid w:val="0"/>
          <w:color w:val="000000"/>
        </w:rPr>
        <w:t>2.神经电生理检查显示其特征性的改变为持续性、多灶性、部分性运动传导阻滞，同时发生于多条周围神经或同一条神经的不同节度；</w:t>
      </w:r>
    </w:p>
    <w:p w14:paraId="0E1DD939" w14:textId="77777777" w:rsidR="008F265F" w:rsidRDefault="00A542E4">
      <w:pPr>
        <w:pStyle w:val="21"/>
        <w:rPr>
          <w:rFonts w:ascii="宋体" w:hAnsi="宋体" w:cs="Arial"/>
          <w:snapToGrid w:val="0"/>
          <w:color w:val="000000"/>
        </w:rPr>
      </w:pPr>
      <w:r>
        <w:rPr>
          <w:rFonts w:ascii="宋体" w:hAnsi="宋体" w:cs="Arial" w:hint="eastAsia"/>
          <w:snapToGrid w:val="0"/>
          <w:color w:val="000000"/>
        </w:rPr>
        <w:t>3.自主生活能力完全永久丧失，无法独立完成六项基本日常生活活动中的三项或三项以上。</w:t>
      </w:r>
    </w:p>
    <w:p w14:paraId="2A231848" w14:textId="77777777" w:rsidR="008F265F" w:rsidRDefault="00A542E4" w:rsidP="00992274">
      <w:pPr>
        <w:pStyle w:val="21"/>
        <w:numPr>
          <w:ilvl w:val="0"/>
          <w:numId w:val="3"/>
        </w:numPr>
        <w:autoSpaceDE w:val="0"/>
        <w:autoSpaceDN w:val="0"/>
        <w:adjustRightInd w:val="0"/>
        <w:spacing w:beforeLines="50" w:before="156"/>
        <w:ind w:left="851" w:firstLineChars="0" w:hanging="425"/>
        <w:rPr>
          <w:rFonts w:ascii="宋体" w:hAnsi="宋体" w:cs="Arial"/>
          <w:snapToGrid w:val="0"/>
          <w:color w:val="000000"/>
        </w:rPr>
      </w:pPr>
      <w:r>
        <w:rPr>
          <w:rFonts w:ascii="宋体" w:hAnsi="宋体" w:cs="Arial" w:hint="eastAsia"/>
          <w:snapToGrid w:val="0"/>
          <w:color w:val="000000"/>
        </w:rPr>
        <w:t>严重原发性轻链型淀粉样变性（</w:t>
      </w:r>
      <w:r>
        <w:rPr>
          <w:rFonts w:ascii="宋体" w:hAnsi="宋体" w:cs="Arial"/>
          <w:snapToGrid w:val="0"/>
          <w:color w:val="000000"/>
        </w:rPr>
        <w:t>AL</w:t>
      </w:r>
      <w:r>
        <w:rPr>
          <w:rFonts w:ascii="宋体" w:hAnsi="宋体" w:cs="Arial" w:hint="eastAsia"/>
          <w:snapToGrid w:val="0"/>
          <w:color w:val="000000"/>
        </w:rPr>
        <w:t>型）</w:t>
      </w:r>
    </w:p>
    <w:p w14:paraId="1F6751F5" w14:textId="77777777" w:rsidR="008F265F" w:rsidRDefault="00A542E4">
      <w:pPr>
        <w:pStyle w:val="21"/>
        <w:spacing w:beforeLines="50" w:before="156"/>
        <w:rPr>
          <w:rFonts w:ascii="宋体" w:hAnsi="宋体" w:cs="Arial"/>
          <w:snapToGrid w:val="0"/>
          <w:color w:val="000000"/>
        </w:rPr>
      </w:pPr>
      <w:r>
        <w:rPr>
          <w:rFonts w:ascii="宋体" w:hAnsi="宋体" w:cs="Arial" w:hint="eastAsia"/>
          <w:snapToGrid w:val="0"/>
          <w:color w:val="000000"/>
        </w:rPr>
        <w:t>是一种多系统受累的单克隆浆细胞病。须经专科医生明确诊断，并满足以下全部条件：</w:t>
      </w:r>
    </w:p>
    <w:p w14:paraId="59BFE8A3" w14:textId="77777777" w:rsidR="008F265F" w:rsidRDefault="00A542E4">
      <w:pPr>
        <w:pStyle w:val="21"/>
        <w:rPr>
          <w:rFonts w:ascii="宋体" w:hAnsi="宋体" w:cs="Arial"/>
          <w:snapToGrid w:val="0"/>
          <w:color w:val="000000"/>
        </w:rPr>
      </w:pPr>
      <w:r>
        <w:rPr>
          <w:rFonts w:ascii="宋体" w:hAnsi="宋体" w:cs="Arial" w:hint="eastAsia"/>
          <w:snapToGrid w:val="0"/>
          <w:color w:val="000000"/>
        </w:rPr>
        <w:t>1.组织活检可见无定形粉染物质沉积，且刚果红染色阳性（偏振光下呈苹果绿色双折光）；</w:t>
      </w:r>
    </w:p>
    <w:p w14:paraId="324C9DBE" w14:textId="77777777" w:rsidR="008F265F" w:rsidRDefault="00A542E4">
      <w:pPr>
        <w:pStyle w:val="21"/>
        <w:rPr>
          <w:rFonts w:ascii="宋体" w:hAnsi="宋体" w:cs="Arial"/>
          <w:snapToGrid w:val="0"/>
          <w:color w:val="000000"/>
        </w:rPr>
      </w:pPr>
      <w:r>
        <w:rPr>
          <w:rFonts w:ascii="宋体" w:hAnsi="宋体" w:cs="Arial" w:hint="eastAsia"/>
          <w:snapToGrid w:val="0"/>
          <w:color w:val="000000"/>
        </w:rPr>
        <w:t>2.沉积物经免疫组化、免疫荧光、免疫电镜或质谱蛋白质组学证实为免疫球蛋白轻链沉积；</w:t>
      </w:r>
    </w:p>
    <w:p w14:paraId="404C4469" w14:textId="77777777" w:rsidR="008F265F" w:rsidRDefault="00A542E4">
      <w:pPr>
        <w:pStyle w:val="21"/>
        <w:rPr>
          <w:rFonts w:ascii="宋体" w:hAnsi="宋体" w:cs="Arial"/>
          <w:snapToGrid w:val="0"/>
          <w:color w:val="000000"/>
        </w:rPr>
      </w:pPr>
      <w:r>
        <w:rPr>
          <w:rFonts w:ascii="宋体" w:hAnsi="宋体" w:cs="Arial" w:hint="eastAsia"/>
          <w:snapToGrid w:val="0"/>
          <w:color w:val="000000"/>
        </w:rPr>
        <w:t>3.具有受累器官的典型临床表现和体征，至少出现下列二项异常：</w:t>
      </w:r>
    </w:p>
    <w:p w14:paraId="48E94770" w14:textId="77777777" w:rsidR="008F265F" w:rsidRDefault="00A542E4">
      <w:pPr>
        <w:pStyle w:val="21"/>
        <w:rPr>
          <w:rFonts w:ascii="宋体" w:hAnsi="宋体" w:cs="Arial"/>
          <w:snapToGrid w:val="0"/>
          <w:color w:val="000000"/>
        </w:rPr>
      </w:pPr>
      <w:r>
        <w:rPr>
          <w:rFonts w:ascii="宋体" w:hAnsi="宋体" w:cs="Arial" w:hint="eastAsia"/>
          <w:snapToGrid w:val="0"/>
          <w:color w:val="000000"/>
        </w:rPr>
        <w:t>（1）肾脏：出现大量蛋白尿或表现为肾病综合征，24小时尿蛋白定量＞0.5g，以白蛋白为主；</w:t>
      </w:r>
    </w:p>
    <w:p w14:paraId="38665E9E" w14:textId="77777777" w:rsidR="008F265F" w:rsidRDefault="00A542E4">
      <w:pPr>
        <w:pStyle w:val="21"/>
        <w:rPr>
          <w:rFonts w:ascii="宋体" w:hAnsi="宋体" w:cs="Arial"/>
          <w:snapToGrid w:val="0"/>
          <w:color w:val="000000"/>
        </w:rPr>
      </w:pPr>
      <w:r>
        <w:rPr>
          <w:rFonts w:ascii="宋体" w:hAnsi="宋体" w:cs="Arial" w:hint="eastAsia"/>
          <w:snapToGrid w:val="0"/>
          <w:color w:val="000000"/>
        </w:rPr>
        <w:t>（2）心脏：心脏超声平均心室壁厚度＞12mm，排除其他心脏疾病，或在无肾功能不</w:t>
      </w:r>
      <w:bookmarkStart w:id="4" w:name="_GoBack"/>
      <w:bookmarkEnd w:id="4"/>
      <w:r>
        <w:rPr>
          <w:rFonts w:ascii="宋体" w:hAnsi="宋体" w:cs="Arial" w:hint="eastAsia"/>
          <w:snapToGrid w:val="0"/>
          <w:color w:val="000000"/>
        </w:rPr>
        <w:t>全及心房颤动时N 末端前体脑钠肽（NT-proBNP）＞332ng/L；</w:t>
      </w:r>
    </w:p>
    <w:p w14:paraId="4A489F73" w14:textId="77777777" w:rsidR="008F265F" w:rsidRDefault="00A542E4">
      <w:pPr>
        <w:pStyle w:val="21"/>
        <w:rPr>
          <w:rFonts w:ascii="宋体" w:hAnsi="宋体" w:cs="Arial"/>
          <w:snapToGrid w:val="0"/>
          <w:color w:val="000000"/>
        </w:rPr>
      </w:pPr>
      <w:r>
        <w:rPr>
          <w:rFonts w:ascii="宋体" w:hAnsi="宋体" w:cs="Arial" w:hint="eastAsia"/>
          <w:snapToGrid w:val="0"/>
          <w:color w:val="000000"/>
        </w:rPr>
        <w:t>（3）肝脏：肝上下径（肝叩诊时锁骨中线上量得的肝上界到肝下界的距离）＞15cm，或碱性磷酸酶超过正常上限的1.5倍；</w:t>
      </w:r>
    </w:p>
    <w:p w14:paraId="5F19E6A0" w14:textId="77777777" w:rsidR="008F265F" w:rsidRDefault="00A542E4">
      <w:pPr>
        <w:pStyle w:val="21"/>
        <w:rPr>
          <w:rFonts w:ascii="宋体" w:hAnsi="宋体" w:cs="Arial"/>
          <w:snapToGrid w:val="0"/>
          <w:color w:val="000000"/>
        </w:rPr>
      </w:pPr>
      <w:r>
        <w:rPr>
          <w:rFonts w:ascii="宋体" w:hAnsi="宋体" w:cs="Arial"/>
          <w:snapToGrid w:val="0"/>
          <w:color w:val="000000"/>
        </w:rPr>
        <w:t>（4）</w:t>
      </w:r>
      <w:r>
        <w:rPr>
          <w:rFonts w:ascii="宋体" w:hAnsi="宋体" w:cs="Arial" w:hint="eastAsia"/>
          <w:snapToGrid w:val="0"/>
          <w:color w:val="000000"/>
        </w:rPr>
        <w:t>外周神经：临床出现对称性的双下肢感觉运动神经病变；</w:t>
      </w:r>
    </w:p>
    <w:p w14:paraId="7FB17EE2" w14:textId="77777777" w:rsidR="008F265F" w:rsidRDefault="00A542E4">
      <w:pPr>
        <w:tabs>
          <w:tab w:val="left" w:pos="988"/>
        </w:tabs>
        <w:ind w:firstLineChars="200" w:firstLine="420"/>
        <w:rPr>
          <w:rFonts w:ascii="宋体" w:hAnsi="宋体" w:cs="Arial"/>
          <w:snapToGrid w:val="0"/>
          <w:color w:val="000000"/>
        </w:rPr>
      </w:pPr>
      <w:r>
        <w:rPr>
          <w:rFonts w:ascii="宋体" w:hAnsi="宋体" w:cs="Arial"/>
          <w:snapToGrid w:val="0"/>
          <w:color w:val="000000"/>
        </w:rPr>
        <w:t>（</w:t>
      </w:r>
      <w:r>
        <w:rPr>
          <w:rFonts w:ascii="宋体" w:hAnsi="宋体" w:cs="Arial" w:hint="eastAsia"/>
          <w:snapToGrid w:val="0"/>
          <w:color w:val="000000"/>
        </w:rPr>
        <w:t>5</w:t>
      </w:r>
      <w:r>
        <w:rPr>
          <w:rFonts w:ascii="宋体" w:hAnsi="宋体" w:cs="Arial"/>
          <w:snapToGrid w:val="0"/>
          <w:color w:val="000000"/>
        </w:rPr>
        <w:t>）</w:t>
      </w:r>
      <w:r>
        <w:rPr>
          <w:rFonts w:ascii="宋体" w:hAnsi="宋体" w:cs="Arial" w:hint="eastAsia"/>
          <w:snapToGrid w:val="0"/>
          <w:color w:val="000000"/>
        </w:rPr>
        <w:t>肺：影像学提示肺间质病变。</w:t>
      </w:r>
    </w:p>
    <w:p w14:paraId="575DA07B" w14:textId="77777777" w:rsidR="008F265F" w:rsidRPr="00E76584" w:rsidRDefault="00A542E4">
      <w:pPr>
        <w:pStyle w:val="a"/>
        <w:spacing w:before="312"/>
        <w:ind w:left="1276" w:hanging="1276"/>
      </w:pPr>
      <w:r w:rsidRPr="00B90481">
        <w:rPr>
          <w:rFonts w:hint="eastAsia"/>
          <w:bCs w:val="0"/>
        </w:rPr>
        <w:t>少儿特定疾病</w:t>
      </w:r>
      <w:r w:rsidRPr="00B90481">
        <w:rPr>
          <w:bCs w:val="0"/>
        </w:rPr>
        <w:t>的定义</w:t>
      </w:r>
    </w:p>
    <w:p w14:paraId="3DE27C9B" w14:textId="77777777" w:rsidR="008F265F" w:rsidRDefault="00A542E4">
      <w:pPr>
        <w:numPr>
          <w:ilvl w:val="0"/>
          <w:numId w:val="4"/>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白血病</w:t>
      </w:r>
    </w:p>
    <w:p w14:paraId="34D30BB1" w14:textId="77777777" w:rsidR="008F265F" w:rsidRDefault="00A542E4">
      <w:pPr>
        <w:pStyle w:val="21"/>
        <w:spacing w:beforeLines="50" w:before="156"/>
        <w:rPr>
          <w:rFonts w:ascii="宋体" w:hAnsi="宋体" w:cs="Arial"/>
          <w:snapToGrid w:val="0"/>
          <w:color w:val="000000"/>
        </w:rPr>
      </w:pPr>
      <w:r>
        <w:rPr>
          <w:rFonts w:ascii="宋体" w:hAnsi="宋体" w:cs="Arial" w:hint="eastAsia"/>
          <w:snapToGrid w:val="0"/>
          <w:color w:val="000000"/>
        </w:rPr>
        <w:t>白血病是指符合本主险合同“恶性肿瘤——重度”重大疾病定义的一组造血系统的恶性肿瘤，其主要表现为造血干细胞或祖细胞突变，在骨髓或其他造血组织中失控地增生，浸润各种组织，而正常造血功能受到抑制，正常血细胞生成减少，产生相应的临床表现，周围血细胞有质和量的变化。被保险人所患白血病必须根据骨髓病理学检查结果和周围血象化验结果，经相关专科医生确诊。</w:t>
      </w:r>
    </w:p>
    <w:p w14:paraId="1F7466C9" w14:textId="77777777" w:rsidR="008F265F" w:rsidRDefault="00A542E4">
      <w:pPr>
        <w:pStyle w:val="21"/>
        <w:spacing w:beforeLines="50" w:before="156"/>
        <w:rPr>
          <w:rFonts w:ascii="宋体" w:hAnsi="宋体" w:cs="Arial"/>
          <w:snapToGrid w:val="0"/>
          <w:color w:val="000000"/>
          <w:shd w:val="pct10" w:color="auto" w:fill="FFFFFF"/>
        </w:rPr>
      </w:pPr>
      <w:r w:rsidRPr="00FD5F2C">
        <w:rPr>
          <w:rFonts w:ascii="宋体" w:hAnsi="宋体" w:cs="Arial" w:hint="eastAsia"/>
          <w:snapToGrid w:val="0"/>
          <w:color w:val="000000"/>
          <w:shd w:val="pct15" w:color="auto" w:fill="FFFFFF"/>
        </w:rPr>
        <w:t>相当于Binet分期方案A期程度的慢性淋巴细胞白血病不在保障范围内。</w:t>
      </w:r>
    </w:p>
    <w:p w14:paraId="4F97EC8F" w14:textId="77777777" w:rsidR="008F265F" w:rsidRDefault="00A542E4">
      <w:pPr>
        <w:numPr>
          <w:ilvl w:val="0"/>
          <w:numId w:val="4"/>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淋巴瘤</w:t>
      </w:r>
    </w:p>
    <w:p w14:paraId="125B04FD"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指原发于淋巴组织的恶性肿瘤——重度，恶性肿瘤——重度释义同重大疾病中的“恶性肿瘤——重度”释义。</w:t>
      </w:r>
    </w:p>
    <w:p w14:paraId="48DB2BFC" w14:textId="77777777" w:rsidR="008F265F" w:rsidRDefault="00A542E4">
      <w:pPr>
        <w:numPr>
          <w:ilvl w:val="0"/>
          <w:numId w:val="4"/>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神经母细胞瘤</w:t>
      </w:r>
    </w:p>
    <w:p w14:paraId="1B3346BB"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指原发于神经母细胞的恶性肿瘤——重度，恶性肿瘤——重度释义同重大疾病中的“恶性肿瘤——重度”释义。</w:t>
      </w:r>
    </w:p>
    <w:p w14:paraId="192D21CB"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肾母细胞瘤</w:t>
      </w:r>
    </w:p>
    <w:p w14:paraId="73762283" w14:textId="77777777" w:rsidR="008F265F" w:rsidRDefault="00A542E4">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指原发于肾母细胞的恶性肿瘤——重度，恶性肿瘤——重度释义同重大疾病中的“恶性肿瘤——重度”释义。</w:t>
      </w:r>
    </w:p>
    <w:p w14:paraId="1616FD85"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脑恶性肿瘤</w:t>
      </w:r>
    </w:p>
    <w:p w14:paraId="0B088999" w14:textId="77777777" w:rsidR="008F265F" w:rsidRDefault="00A542E4">
      <w:pPr>
        <w:pStyle w:val="21"/>
        <w:autoSpaceDE w:val="0"/>
        <w:autoSpaceDN w:val="0"/>
        <w:adjustRightInd w:val="0"/>
        <w:spacing w:beforeLines="50" w:before="156"/>
        <w:rPr>
          <w:rFonts w:ascii="宋体" w:hAnsi="宋体" w:cs="Arial"/>
          <w:snapToGrid w:val="0"/>
          <w:color w:val="000000"/>
        </w:rPr>
      </w:pPr>
      <w:r>
        <w:rPr>
          <w:rFonts w:ascii="宋体" w:hAnsi="宋体" w:cs="Arial" w:hint="eastAsia"/>
          <w:snapToGrid w:val="0"/>
          <w:color w:val="000000"/>
        </w:rPr>
        <w:t>指符合重大疾病中的“恶性肿瘤——重度”定义标准，经病理学检查结果明确诊断，临床诊断属于世界卫生组织《疾病和有关健康问题的国际统计分类》第十次修订版（ICD-10）的恶性肿瘤C71范畴。</w:t>
      </w:r>
    </w:p>
    <w:p w14:paraId="6193617C" w14:textId="77777777" w:rsidR="008F265F" w:rsidRPr="00FD5F2C" w:rsidRDefault="00A542E4">
      <w:pPr>
        <w:autoSpaceDE w:val="0"/>
        <w:autoSpaceDN w:val="0"/>
        <w:adjustRightInd w:val="0"/>
        <w:spacing w:beforeLines="50" w:before="156"/>
        <w:ind w:firstLine="419"/>
        <w:rPr>
          <w:rFonts w:ascii="宋体" w:hAnsi="宋体" w:cs="Arial"/>
          <w:snapToGrid w:val="0"/>
          <w:color w:val="000000"/>
          <w:shd w:val="pct15" w:color="auto" w:fill="FFFFFF"/>
        </w:rPr>
      </w:pPr>
      <w:r w:rsidRPr="00FD5F2C">
        <w:rPr>
          <w:rFonts w:ascii="宋体" w:hAnsi="宋体" w:cs="Arial" w:hint="eastAsia"/>
          <w:snapToGrid w:val="0"/>
          <w:color w:val="000000"/>
          <w:shd w:val="pct15" w:color="auto" w:fill="FFFFFF"/>
        </w:rPr>
        <w:t>下列疾病不在保障范围内：</w:t>
      </w:r>
    </w:p>
    <w:p w14:paraId="6E0FC702" w14:textId="77777777" w:rsidR="008F265F" w:rsidRPr="00FD5F2C" w:rsidRDefault="00A542E4">
      <w:pPr>
        <w:autoSpaceDE w:val="0"/>
        <w:autoSpaceDN w:val="0"/>
        <w:adjustRightInd w:val="0"/>
        <w:ind w:firstLineChars="200" w:firstLine="420"/>
        <w:rPr>
          <w:rFonts w:ascii="宋体" w:hAnsi="宋体" w:cs="Arial"/>
          <w:snapToGrid w:val="0"/>
          <w:color w:val="000000"/>
          <w:shd w:val="pct15" w:color="auto" w:fill="FFFFFF"/>
        </w:rPr>
      </w:pPr>
      <w:r w:rsidRPr="00FD5F2C">
        <w:rPr>
          <w:rFonts w:ascii="宋体" w:hAnsi="宋体" w:cs="Arial"/>
          <w:snapToGrid w:val="0"/>
          <w:color w:val="000000"/>
          <w:shd w:val="pct15" w:color="auto" w:fill="FFFFFF"/>
        </w:rPr>
        <w:t>1.</w:t>
      </w:r>
      <w:r w:rsidRPr="00FD5F2C">
        <w:rPr>
          <w:rFonts w:ascii="宋体" w:hAnsi="宋体" w:cs="Arial" w:hint="eastAsia"/>
          <w:snapToGrid w:val="0"/>
          <w:color w:val="000000"/>
          <w:shd w:val="pct15" w:color="auto" w:fill="FFFFFF"/>
        </w:rPr>
        <w:t>继发性（转移性）恶性肿瘤；</w:t>
      </w:r>
    </w:p>
    <w:p w14:paraId="6E528651" w14:textId="77777777" w:rsidR="008F265F" w:rsidRPr="00FD5F2C" w:rsidRDefault="00A542E4">
      <w:pPr>
        <w:autoSpaceDE w:val="0"/>
        <w:autoSpaceDN w:val="0"/>
        <w:adjustRightInd w:val="0"/>
        <w:ind w:firstLineChars="200" w:firstLine="420"/>
        <w:rPr>
          <w:rFonts w:ascii="宋体" w:hAnsi="宋体" w:cs="Arial"/>
          <w:snapToGrid w:val="0"/>
          <w:color w:val="000000"/>
          <w:shd w:val="pct15" w:color="auto" w:fill="FFFFFF"/>
        </w:rPr>
      </w:pPr>
      <w:r w:rsidRPr="00FD5F2C">
        <w:rPr>
          <w:rFonts w:ascii="宋体" w:hAnsi="宋体" w:cs="Arial"/>
          <w:snapToGrid w:val="0"/>
          <w:color w:val="000000"/>
          <w:shd w:val="pct15" w:color="auto" w:fill="FFFFFF"/>
        </w:rPr>
        <w:t>2.</w:t>
      </w:r>
      <w:r w:rsidRPr="00FD5F2C">
        <w:rPr>
          <w:rFonts w:ascii="宋体" w:hAnsi="宋体" w:cs="Arial" w:hint="eastAsia"/>
          <w:snapToGrid w:val="0"/>
          <w:color w:val="000000"/>
          <w:shd w:val="pct15" w:color="auto" w:fill="FFFFFF"/>
        </w:rPr>
        <w:t>颅神经恶性肿瘤（</w:t>
      </w:r>
      <w:r w:rsidRPr="00FD5F2C">
        <w:rPr>
          <w:rFonts w:ascii="宋体" w:hAnsi="宋体" w:cs="Arial"/>
          <w:snapToGrid w:val="0"/>
          <w:color w:val="000000"/>
          <w:shd w:val="pct15" w:color="auto" w:fill="FFFFFF"/>
        </w:rPr>
        <w:t>ICD-10编码为C72.2-C72.5）；</w:t>
      </w:r>
    </w:p>
    <w:p w14:paraId="6EF7D586" w14:textId="77777777" w:rsidR="008F265F" w:rsidRPr="00FD5F2C" w:rsidRDefault="00A542E4">
      <w:pPr>
        <w:autoSpaceDE w:val="0"/>
        <w:autoSpaceDN w:val="0"/>
        <w:adjustRightInd w:val="0"/>
        <w:ind w:firstLineChars="200" w:firstLine="420"/>
        <w:rPr>
          <w:rFonts w:ascii="宋体" w:hAnsi="宋体" w:cs="Arial"/>
          <w:snapToGrid w:val="0"/>
          <w:color w:val="000000"/>
          <w:shd w:val="pct15" w:color="auto" w:fill="FFFFFF"/>
        </w:rPr>
      </w:pPr>
      <w:r w:rsidRPr="00FD5F2C">
        <w:rPr>
          <w:rFonts w:ascii="宋体" w:hAnsi="宋体" w:cs="Arial"/>
          <w:snapToGrid w:val="0"/>
          <w:color w:val="000000"/>
          <w:shd w:val="pct15" w:color="auto" w:fill="FFFFFF"/>
        </w:rPr>
        <w:t>3.</w:t>
      </w:r>
      <w:r w:rsidRPr="00FD5F2C">
        <w:rPr>
          <w:rFonts w:ascii="宋体" w:hAnsi="宋体" w:cs="Arial" w:hint="eastAsia"/>
          <w:snapToGrid w:val="0"/>
          <w:color w:val="000000"/>
          <w:shd w:val="pct15" w:color="auto" w:fill="FFFFFF"/>
        </w:rPr>
        <w:t>球后组织恶性肿瘤（</w:t>
      </w:r>
      <w:r w:rsidRPr="00FD5F2C">
        <w:rPr>
          <w:rFonts w:ascii="宋体" w:hAnsi="宋体" w:cs="Arial"/>
          <w:snapToGrid w:val="0"/>
          <w:color w:val="000000"/>
          <w:shd w:val="pct15" w:color="auto" w:fill="FFFFFF"/>
        </w:rPr>
        <w:t>ICD-10编码为C69.6）。</w:t>
      </w:r>
    </w:p>
    <w:p w14:paraId="34C75883"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严重脑炎后遗症或严重脑膜炎后遗症</w:t>
      </w:r>
    </w:p>
    <w:p w14:paraId="5E9B638B"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同重大疾病中的“严重脑炎后遗症或严重脑膜炎后遗症”定义。</w:t>
      </w:r>
    </w:p>
    <w:p w14:paraId="0A46B00E"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重型再生障碍性贫血</w:t>
      </w:r>
    </w:p>
    <w:p w14:paraId="54DCB36B"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同重大疾病中的“重型再生障碍性贫血”定义。</w:t>
      </w:r>
    </w:p>
    <w:p w14:paraId="31DC01C3"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严重类风湿性关节炎</w:t>
      </w:r>
    </w:p>
    <w:p w14:paraId="603C7346"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同重大疾病中的“严重类风湿性关节炎”定义。</w:t>
      </w:r>
    </w:p>
    <w:p w14:paraId="0A1F31AE"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严重心肌病</w:t>
      </w:r>
    </w:p>
    <w:p w14:paraId="69C18D3E"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同重大疾病中的“严重心肌病”定义。</w:t>
      </w:r>
    </w:p>
    <w:p w14:paraId="415463BB"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严重心肌炎</w:t>
      </w:r>
    </w:p>
    <w:p w14:paraId="5D82DF76"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同重大疾病中的“严重心肌炎”定义。</w:t>
      </w:r>
    </w:p>
    <w:p w14:paraId="00C3AC9B"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原发性骨髓纤维化</w:t>
      </w:r>
    </w:p>
    <w:p w14:paraId="6DC157A6"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同重大疾病中的“原发性骨髓纤维化”定义。</w:t>
      </w:r>
    </w:p>
    <w:p w14:paraId="2D4C74FE"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严重瑞氏综合征（Reye综合征）</w:t>
      </w:r>
    </w:p>
    <w:p w14:paraId="6930F2B0"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同重大疾病中的“严重瑞氏综合征（Reye综合征）”定义。</w:t>
      </w:r>
    </w:p>
    <w:p w14:paraId="15DB2F8B"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严重川崎病</w:t>
      </w:r>
    </w:p>
    <w:p w14:paraId="14BBA6AA"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同重大疾病中的“严重川崎病”定义。</w:t>
      </w:r>
    </w:p>
    <w:p w14:paraId="7DF57FF3"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重症手足口病</w:t>
      </w:r>
    </w:p>
    <w:p w14:paraId="4E3A9652"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同重大疾病中的“重症手足口病”定义。</w:t>
      </w:r>
    </w:p>
    <w:p w14:paraId="38A5AA2C"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严重哮喘</w:t>
      </w:r>
    </w:p>
    <w:p w14:paraId="467E206B"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同重大疾病中的“严重哮喘”定义。</w:t>
      </w:r>
    </w:p>
    <w:p w14:paraId="6FAE78D1"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骨生长不全症</w:t>
      </w:r>
    </w:p>
    <w:p w14:paraId="135DE2DD"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同重大疾病中的“骨生长不全症”定义。</w:t>
      </w:r>
    </w:p>
    <w:p w14:paraId="13D4F25C"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w:t>
      </w:r>
      <w:r>
        <w:rPr>
          <w:rFonts w:ascii="宋体" w:hAnsi="宋体" w:cs="Arial"/>
          <w:snapToGrid w:val="0"/>
          <w:color w:val="000000"/>
        </w:rPr>
        <w:t>1</w:t>
      </w:r>
      <w:r>
        <w:rPr>
          <w:rFonts w:ascii="宋体" w:hAnsi="宋体" w:cs="Arial" w:hint="eastAsia"/>
          <w:snapToGrid w:val="0"/>
          <w:color w:val="000000"/>
        </w:rPr>
        <w:t>型糖尿病</w:t>
      </w:r>
    </w:p>
    <w:p w14:paraId="6B625E21"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w:t>
      </w:r>
      <w:r>
        <w:rPr>
          <w:rFonts w:ascii="宋体" w:hAnsi="宋体" w:cs="Arial"/>
          <w:snapToGrid w:val="0"/>
          <w:color w:val="000000"/>
        </w:rPr>
        <w:t>1</w:t>
      </w:r>
      <w:r>
        <w:rPr>
          <w:rFonts w:ascii="宋体" w:hAnsi="宋体" w:cs="Arial" w:hint="eastAsia"/>
          <w:snapToGrid w:val="0"/>
          <w:color w:val="000000"/>
        </w:rPr>
        <w:t>型糖尿病”定义。</w:t>
      </w:r>
    </w:p>
    <w:p w14:paraId="37C2065C"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严重癫痫</w:t>
      </w:r>
    </w:p>
    <w:p w14:paraId="297AC054"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同重大疾病中的“严重癫痫”定义。</w:t>
      </w:r>
    </w:p>
    <w:p w14:paraId="6531263D"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结核性脊髓炎</w:t>
      </w:r>
    </w:p>
    <w:p w14:paraId="2994D631"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同重大疾病中的“结核性脊髓炎”定义。</w:t>
      </w:r>
    </w:p>
    <w:p w14:paraId="4DE9DC15" w14:textId="77777777" w:rsidR="008F265F" w:rsidRDefault="00A542E4">
      <w:pPr>
        <w:pStyle w:val="21"/>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脊髓灰质炎导致的瘫痪</w:t>
      </w:r>
    </w:p>
    <w:p w14:paraId="1FACFA02"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同重大疾病中的“脊髓灰质炎导致的瘫痪”定义。</w:t>
      </w:r>
    </w:p>
    <w:p w14:paraId="49FFD32D" w14:textId="77777777" w:rsidR="008F265F" w:rsidRPr="00E76584" w:rsidRDefault="00A542E4">
      <w:pPr>
        <w:pStyle w:val="a"/>
        <w:tabs>
          <w:tab w:val="left" w:pos="1276"/>
        </w:tabs>
        <w:spacing w:before="312"/>
        <w:ind w:left="1276" w:hanging="1276"/>
      </w:pPr>
      <w:r w:rsidRPr="00B90481">
        <w:rPr>
          <w:rFonts w:hint="eastAsia"/>
          <w:bCs w:val="0"/>
        </w:rPr>
        <w:t>少儿罕见疾病</w:t>
      </w:r>
      <w:r w:rsidRPr="00B90481">
        <w:rPr>
          <w:bCs w:val="0"/>
        </w:rPr>
        <w:t>的定义</w:t>
      </w:r>
    </w:p>
    <w:p w14:paraId="765544E1"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肺淋巴管肌瘤病</w:t>
      </w:r>
      <w:r>
        <w:rPr>
          <w:rFonts w:ascii="宋体" w:hAnsi="宋体" w:cs="Arial" w:hint="eastAsia"/>
          <w:snapToGrid w:val="0"/>
          <w:color w:val="000000"/>
        </w:rPr>
        <w:tab/>
      </w:r>
    </w:p>
    <w:p w14:paraId="40405C48"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同重大疾病中的“肺淋巴管肌瘤病”定义。</w:t>
      </w:r>
    </w:p>
    <w:p w14:paraId="00210968"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肺泡蛋白沉积症</w:t>
      </w:r>
    </w:p>
    <w:p w14:paraId="0E7286B1"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同重大疾病中的“肺泡蛋白沉积症”定义。</w:t>
      </w:r>
    </w:p>
    <w:p w14:paraId="5AA5F8B6"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脑型疟疾</w:t>
      </w:r>
    </w:p>
    <w:p w14:paraId="2C43401B"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同重大疾病中的“脑型疟疾”定义。</w:t>
      </w:r>
    </w:p>
    <w:p w14:paraId="2AFF1DA2"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脊髓内肿瘤</w:t>
      </w:r>
    </w:p>
    <w:p w14:paraId="182090D1" w14:textId="77777777" w:rsidR="008F265F" w:rsidRDefault="00A542E4">
      <w:pPr>
        <w:pStyle w:val="21"/>
        <w:autoSpaceDE w:val="0"/>
        <w:autoSpaceDN w:val="0"/>
        <w:adjustRightInd w:val="0"/>
        <w:spacing w:beforeLines="50" w:before="156"/>
        <w:ind w:leftChars="200" w:left="420" w:firstLineChars="0" w:firstLine="0"/>
        <w:rPr>
          <w:rFonts w:ascii="宋体" w:hAnsi="宋体" w:cs="Arial"/>
          <w:snapToGrid w:val="0"/>
          <w:color w:val="000000"/>
        </w:rPr>
      </w:pPr>
      <w:r>
        <w:rPr>
          <w:rFonts w:ascii="宋体" w:hAnsi="宋体" w:cs="Arial" w:hint="eastAsia"/>
          <w:snapToGrid w:val="0"/>
          <w:color w:val="000000"/>
        </w:rPr>
        <w:t>同重大疾病中的“脊髓内肿瘤”定义。</w:t>
      </w:r>
    </w:p>
    <w:p w14:paraId="346067E9"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范可尼综合征（Fanconi综合征）——</w:t>
      </w:r>
      <w:r w:rsidRPr="00FD5F2C">
        <w:rPr>
          <w:rFonts w:ascii="宋体" w:hAnsi="宋体" w:cs="Arial" w:hint="eastAsia"/>
          <w:snapToGrid w:val="0"/>
          <w:color w:val="000000"/>
          <w:shd w:val="pct15" w:color="auto" w:fill="FFFFFF"/>
        </w:rPr>
        <w:t>三周岁后始理赔</w:t>
      </w:r>
    </w:p>
    <w:p w14:paraId="717F2225"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同重大疾病中的“范可尼综合征（Fanconi综合征）——</w:t>
      </w:r>
      <w:r w:rsidRPr="00FD5F2C">
        <w:rPr>
          <w:rFonts w:ascii="宋体" w:hAnsi="宋体" w:cs="Arial" w:hint="eastAsia"/>
          <w:snapToGrid w:val="0"/>
          <w:color w:val="000000"/>
          <w:shd w:val="pct15" w:color="auto" w:fill="FFFFFF"/>
        </w:rPr>
        <w:t>三周岁后始理赔</w:t>
      </w:r>
      <w:r>
        <w:rPr>
          <w:rFonts w:ascii="宋体" w:hAnsi="宋体" w:cs="Arial" w:hint="eastAsia"/>
          <w:snapToGrid w:val="0"/>
          <w:color w:val="000000"/>
        </w:rPr>
        <w:t>”定义。</w:t>
      </w:r>
    </w:p>
    <w:p w14:paraId="354DD0BD"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艾森门格综合征</w:t>
      </w:r>
    </w:p>
    <w:p w14:paraId="054DC0B3"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同重大疾病中的“艾森门格综合征”定义。</w:t>
      </w:r>
    </w:p>
    <w:p w14:paraId="12E644EF"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热纳综合征（窒息性胸腔失养症）(Turner Syndrome）</w:t>
      </w:r>
    </w:p>
    <w:p w14:paraId="26EF3741" w14:textId="77777777" w:rsidR="008F265F" w:rsidRDefault="00A542E4">
      <w:pPr>
        <w:pStyle w:val="21"/>
        <w:autoSpaceDE w:val="0"/>
        <w:autoSpaceDN w:val="0"/>
        <w:adjustRightInd w:val="0"/>
        <w:spacing w:beforeLines="50" w:before="156"/>
        <w:ind w:left="420" w:firstLineChars="0" w:firstLine="0"/>
        <w:rPr>
          <w:snapToGrid w:val="0"/>
        </w:rPr>
      </w:pPr>
      <w:r>
        <w:rPr>
          <w:rFonts w:ascii="宋体" w:hAnsi="宋体" w:cs="Arial" w:hint="eastAsia"/>
          <w:snapToGrid w:val="0"/>
          <w:color w:val="000000"/>
        </w:rPr>
        <w:t>同重大疾病中的“热纳综合征（窒息性胸腔失养症）(Turner Syndrome）”定义。</w:t>
      </w:r>
    </w:p>
    <w:p w14:paraId="42277575"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视神经脊髓炎（Neuromyelitis optica，NMO)</w:t>
      </w:r>
    </w:p>
    <w:p w14:paraId="7ED1CFDC"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同重大疾病中的“视神经脊髓炎（Neuromyelitis optica，NMO)”定义。</w:t>
      </w:r>
    </w:p>
    <w:p w14:paraId="52201A44"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尼曼皮克病</w:t>
      </w:r>
    </w:p>
    <w:p w14:paraId="349C798C"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同重大疾病中的“尼曼皮克病”定义。</w:t>
      </w:r>
    </w:p>
    <w:p w14:paraId="71EFB757"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阵发性睡眠性血红蛋白尿</w:t>
      </w:r>
      <w:r>
        <w:rPr>
          <w:rFonts w:hint="eastAsia"/>
        </w:rPr>
        <w:t>——</w:t>
      </w:r>
      <w:r w:rsidRPr="00FD5F2C">
        <w:rPr>
          <w:rFonts w:ascii="宋体" w:hAnsi="宋体" w:cs="Arial" w:hint="eastAsia"/>
          <w:snapToGrid w:val="0"/>
          <w:color w:val="000000"/>
          <w:shd w:val="pct15" w:color="auto" w:fill="FFFFFF"/>
        </w:rPr>
        <w:t>二十二周岁前理赔</w:t>
      </w:r>
    </w:p>
    <w:p w14:paraId="14596963"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同重大疾病中的“阵发性睡眠性血红蛋白尿</w:t>
      </w:r>
      <w:r>
        <w:rPr>
          <w:rFonts w:hint="eastAsia"/>
        </w:rPr>
        <w:t>——</w:t>
      </w:r>
      <w:r w:rsidRPr="00FD5F2C">
        <w:rPr>
          <w:rFonts w:ascii="宋体" w:hAnsi="宋体" w:cs="Arial" w:hint="eastAsia"/>
          <w:snapToGrid w:val="0"/>
          <w:color w:val="000000"/>
          <w:shd w:val="pct15" w:color="auto" w:fill="FFFFFF"/>
        </w:rPr>
        <w:t>二十二周岁前理赔</w:t>
      </w:r>
      <w:r>
        <w:rPr>
          <w:rFonts w:ascii="宋体" w:hAnsi="宋体" w:cs="Arial" w:hint="eastAsia"/>
          <w:snapToGrid w:val="0"/>
          <w:color w:val="000000"/>
        </w:rPr>
        <w:t>”定义。</w:t>
      </w:r>
    </w:p>
    <w:p w14:paraId="452CBA47"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黑斑息肉综合征</w:t>
      </w:r>
    </w:p>
    <w:p w14:paraId="5FF3224A"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同重大疾病中的“黑斑息肉综合征”定义。</w:t>
      </w:r>
    </w:p>
    <w:p w14:paraId="0D774B53"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POEMS综合征</w:t>
      </w:r>
    </w:p>
    <w:p w14:paraId="34916BD8"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同重大疾病中的“POEMS综合征”定义。</w:t>
      </w:r>
    </w:p>
    <w:p w14:paraId="49E31C41"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进行性家族性肝内胆汁淤积症</w:t>
      </w:r>
    </w:p>
    <w:p w14:paraId="28BFBAD6"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同重大疾病中的“进行性家族性肝内胆汁淤积症”定义。</w:t>
      </w:r>
    </w:p>
    <w:p w14:paraId="5E6F79AF"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谷固醇血症</w:t>
      </w:r>
    </w:p>
    <w:p w14:paraId="759C1586"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同重大疾病中的“谷固醇血症”定义。</w:t>
      </w:r>
    </w:p>
    <w:p w14:paraId="7FF2A58B"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严重脊髓小脑共济失调/脊髓小脑变性症——</w:t>
      </w:r>
      <w:r w:rsidRPr="00FD5F2C">
        <w:rPr>
          <w:rFonts w:ascii="宋体" w:hAnsi="宋体" w:cs="Arial" w:hint="eastAsia"/>
          <w:snapToGrid w:val="0"/>
          <w:color w:val="000000"/>
          <w:shd w:val="pct15" w:color="auto" w:fill="FFFFFF"/>
        </w:rPr>
        <w:t>二十二周岁前理赔</w:t>
      </w:r>
    </w:p>
    <w:p w14:paraId="1AC5CD0B"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同重大疾病中的“严重脊髓小脑共济失调/脊髓小脑变性症——</w:t>
      </w:r>
      <w:r w:rsidRPr="00FD5F2C">
        <w:rPr>
          <w:rFonts w:ascii="宋体" w:hAnsi="宋体" w:cs="Arial" w:hint="eastAsia"/>
          <w:snapToGrid w:val="0"/>
          <w:color w:val="000000"/>
          <w:shd w:val="pct15" w:color="auto" w:fill="FFFFFF"/>
        </w:rPr>
        <w:t>二十二周岁前理赔</w:t>
      </w:r>
      <w:r>
        <w:rPr>
          <w:rFonts w:ascii="宋体" w:hAnsi="宋体" w:cs="Arial" w:hint="eastAsia"/>
          <w:snapToGrid w:val="0"/>
          <w:color w:val="000000"/>
        </w:rPr>
        <w:t>”定义。</w:t>
      </w:r>
    </w:p>
    <w:p w14:paraId="3157E91A"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Castleman病</w:t>
      </w:r>
    </w:p>
    <w:p w14:paraId="14965693"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同重大疾病中的“Castleman病”定义。</w:t>
      </w:r>
    </w:p>
    <w:p w14:paraId="66840DDB"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Erdheim-Chester病</w:t>
      </w:r>
    </w:p>
    <w:p w14:paraId="73147D32"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同重大疾病中的“Erdheim-Chester病”定义。</w:t>
      </w:r>
    </w:p>
    <w:p w14:paraId="7413E3EB"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McCune-Albright综合征</w:t>
      </w:r>
    </w:p>
    <w:p w14:paraId="3A1B98D8"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同重大疾病中的“McCune-Albright综合征”定义。</w:t>
      </w:r>
    </w:p>
    <w:p w14:paraId="4FC374A7"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多灶性运动神经病</w:t>
      </w:r>
    </w:p>
    <w:p w14:paraId="185F10DF" w14:textId="77777777" w:rsidR="008F265F" w:rsidRDefault="00A542E4">
      <w:pPr>
        <w:pStyle w:val="21"/>
        <w:autoSpaceDE w:val="0"/>
        <w:autoSpaceDN w:val="0"/>
        <w:adjustRightInd w:val="0"/>
        <w:spacing w:beforeLines="50" w:before="156"/>
        <w:ind w:left="420" w:firstLineChars="0" w:firstLine="0"/>
        <w:rPr>
          <w:rFonts w:ascii="宋体" w:hAnsi="宋体" w:cs="Arial"/>
          <w:snapToGrid w:val="0"/>
          <w:color w:val="000000"/>
        </w:rPr>
      </w:pPr>
      <w:r>
        <w:rPr>
          <w:rFonts w:ascii="宋体" w:hAnsi="宋体" w:cs="Arial" w:hint="eastAsia"/>
          <w:snapToGrid w:val="0"/>
          <w:color w:val="000000"/>
        </w:rPr>
        <w:t>同重大疾病中的“多灶性运动神经病”定义。</w:t>
      </w:r>
    </w:p>
    <w:p w14:paraId="12170B90" w14:textId="77777777" w:rsidR="008F265F" w:rsidRDefault="00A542E4">
      <w:pPr>
        <w:pStyle w:val="21"/>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严重原发性轻链型淀粉样变性（AL型）</w:t>
      </w:r>
    </w:p>
    <w:p w14:paraId="04ADF26E" w14:textId="77777777" w:rsidR="008F265F" w:rsidRDefault="00A542E4" w:rsidP="00FD5F2C">
      <w:pPr>
        <w:pStyle w:val="21"/>
        <w:spacing w:beforeLines="50" w:before="156"/>
        <w:rPr>
          <w:rFonts w:ascii="宋体" w:hAnsi="宋体" w:cs="Arial"/>
          <w:snapToGrid w:val="0"/>
          <w:color w:val="000000"/>
        </w:rPr>
        <w:sectPr w:rsidR="008F265F" w:rsidSect="00BA1323">
          <w:headerReference w:type="default" r:id="rId16"/>
          <w:headerReference w:type="first" r:id="rId17"/>
          <w:pgSz w:w="11907" w:h="16839"/>
          <w:pgMar w:top="1247" w:right="1134" w:bottom="1247" w:left="1701" w:header="737" w:footer="737" w:gutter="0"/>
          <w:cols w:space="425"/>
          <w:titlePg/>
          <w:docGrid w:type="lines" w:linePitch="312"/>
        </w:sectPr>
      </w:pPr>
      <w:r>
        <w:rPr>
          <w:rFonts w:ascii="宋体" w:hAnsi="宋体" w:cs="Arial" w:hint="eastAsia"/>
          <w:snapToGrid w:val="0"/>
          <w:color w:val="000000"/>
        </w:rPr>
        <w:t>同重大疾病中的“严重原发性轻链型淀粉样变性（AL型）”定义。</w:t>
      </w:r>
    </w:p>
    <w:p w14:paraId="203A1E89" w14:textId="77777777" w:rsidR="008F265F" w:rsidRDefault="00A542E4">
      <w:pPr>
        <w:autoSpaceDE w:val="0"/>
        <w:autoSpaceDN w:val="0"/>
        <w:adjustRightInd w:val="0"/>
        <w:spacing w:beforeLines="50" w:before="156"/>
        <w:ind w:firstLineChars="200" w:firstLine="422"/>
        <w:rPr>
          <w:rFonts w:ascii="宋体" w:hAnsi="宋体" w:cs="Arial"/>
          <w:snapToGrid w:val="0"/>
          <w:color w:val="000000"/>
        </w:rPr>
      </w:pPr>
      <w:r>
        <w:rPr>
          <w:rFonts w:ascii="宋体" w:hAnsi="宋体" w:cs="Arial" w:hint="eastAsia"/>
          <w:b/>
          <w:bCs/>
          <w:snapToGrid w:val="0"/>
          <w:color w:val="000000"/>
        </w:rPr>
        <w:t>附表一：</w:t>
      </w:r>
    </w:p>
    <w:p w14:paraId="70B22690" w14:textId="77777777" w:rsidR="008F265F" w:rsidRDefault="00A542E4">
      <w:pPr>
        <w:autoSpaceDE w:val="0"/>
        <w:autoSpaceDN w:val="0"/>
        <w:adjustRightInd w:val="0"/>
        <w:spacing w:beforeLines="50" w:before="156"/>
        <w:jc w:val="center"/>
        <w:rPr>
          <w:rFonts w:ascii="宋体" w:hAnsi="宋体" w:cs="Arial"/>
          <w:snapToGrid w:val="0"/>
          <w:color w:val="000000"/>
        </w:rPr>
      </w:pPr>
      <w:r>
        <w:rPr>
          <w:rFonts w:ascii="宋体" w:hAnsi="宋体" w:cs="Arial"/>
          <w:b/>
          <w:bCs/>
          <w:snapToGrid w:val="0"/>
          <w:color w:val="000000"/>
        </w:rPr>
        <w:t>招商局仁和人寿保险股份有限公司</w:t>
      </w:r>
    </w:p>
    <w:p w14:paraId="7D7E565F" w14:textId="77777777" w:rsidR="008F265F" w:rsidRDefault="00A542E4">
      <w:pPr>
        <w:widowControl/>
        <w:spacing w:afterLines="50" w:after="156"/>
        <w:jc w:val="center"/>
        <w:rPr>
          <w:rFonts w:ascii="宋体" w:hAnsi="宋体" w:cs="Arial"/>
          <w:b/>
          <w:bCs/>
          <w:snapToGrid w:val="0"/>
          <w:color w:val="000000"/>
        </w:rPr>
      </w:pPr>
      <w:r>
        <w:rPr>
          <w:rFonts w:ascii="宋体" w:hAnsi="宋体" w:cs="Arial"/>
          <w:b/>
          <w:bCs/>
          <w:snapToGrid w:val="0"/>
          <w:color w:val="000000"/>
        </w:rPr>
        <w:t>招商仁和仁心保贝3号重大疾病保险A款（互联网）保障疾病名称</w:t>
      </w:r>
    </w:p>
    <w:tbl>
      <w:tblPr>
        <w:tblStyle w:val="ae"/>
        <w:tblW w:w="9062" w:type="dxa"/>
        <w:jc w:val="center"/>
        <w:tblLayout w:type="fixed"/>
        <w:tblLook w:val="04A0" w:firstRow="1" w:lastRow="0" w:firstColumn="1" w:lastColumn="0" w:noHBand="0" w:noVBand="1"/>
      </w:tblPr>
      <w:tblGrid>
        <w:gridCol w:w="3114"/>
        <w:gridCol w:w="2977"/>
        <w:gridCol w:w="2971"/>
      </w:tblGrid>
      <w:tr w:rsidR="008F265F" w14:paraId="78BB382B" w14:textId="77777777">
        <w:trPr>
          <w:jc w:val="center"/>
        </w:trPr>
        <w:tc>
          <w:tcPr>
            <w:tcW w:w="9062" w:type="dxa"/>
            <w:gridSpan w:val="3"/>
            <w:vAlign w:val="center"/>
          </w:tcPr>
          <w:p w14:paraId="72C488A6" w14:textId="77777777" w:rsidR="008F265F" w:rsidRDefault="00A542E4">
            <w:pPr>
              <w:autoSpaceDE w:val="0"/>
              <w:autoSpaceDN w:val="0"/>
              <w:adjustRightInd w:val="0"/>
              <w:jc w:val="center"/>
              <w:rPr>
                <w:rFonts w:ascii="宋体" w:hAnsi="宋体"/>
                <w:b/>
                <w:bCs/>
              </w:rPr>
            </w:pPr>
            <w:r>
              <w:rPr>
                <w:rFonts w:ascii="宋体" w:hAnsi="宋体" w:cs="宋体"/>
                <w:b/>
                <w:kern w:val="0"/>
                <w:szCs w:val="21"/>
              </w:rPr>
              <w:t>轻症疾病</w:t>
            </w:r>
          </w:p>
        </w:tc>
      </w:tr>
      <w:tr w:rsidR="008F265F" w14:paraId="5942227B" w14:textId="77777777">
        <w:trPr>
          <w:jc w:val="center"/>
        </w:trPr>
        <w:tc>
          <w:tcPr>
            <w:tcW w:w="3114" w:type="dxa"/>
            <w:vAlign w:val="center"/>
          </w:tcPr>
          <w:p w14:paraId="4166D12B"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1、 恶性肿瘤——轻度</w:t>
            </w:r>
          </w:p>
        </w:tc>
        <w:tc>
          <w:tcPr>
            <w:tcW w:w="2977" w:type="dxa"/>
            <w:vAlign w:val="center"/>
          </w:tcPr>
          <w:p w14:paraId="207328BA"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18、 冠状动脉介入手术</w:t>
            </w:r>
          </w:p>
        </w:tc>
        <w:tc>
          <w:tcPr>
            <w:tcW w:w="2971" w:type="dxa"/>
            <w:vAlign w:val="center"/>
          </w:tcPr>
          <w:p w14:paraId="7CEE33B2"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3</w:t>
            </w:r>
            <w:r>
              <w:rPr>
                <w:rFonts w:ascii="宋体" w:eastAsiaTheme="minorEastAsia" w:hAnsi="宋体"/>
                <w:color w:val="000000"/>
                <w:sz w:val="15"/>
                <w:szCs w:val="20"/>
              </w:rPr>
              <w:t>5</w:t>
            </w:r>
            <w:r>
              <w:rPr>
                <w:rFonts w:ascii="宋体" w:eastAsiaTheme="minorEastAsia" w:hAnsi="宋体" w:hint="eastAsia"/>
                <w:color w:val="000000"/>
                <w:sz w:val="15"/>
                <w:szCs w:val="20"/>
              </w:rPr>
              <w:t>、 单耳失聪——</w:t>
            </w:r>
            <w:r w:rsidRPr="00FD5F2C">
              <w:rPr>
                <w:rFonts w:ascii="宋体" w:eastAsiaTheme="minorEastAsia" w:hAnsi="宋体" w:hint="eastAsia"/>
                <w:color w:val="000000"/>
                <w:sz w:val="15"/>
                <w:szCs w:val="20"/>
                <w:shd w:val="pct15" w:color="auto" w:fill="FFFFFF"/>
              </w:rPr>
              <w:t>三周岁后始理赔</w:t>
            </w:r>
          </w:p>
        </w:tc>
      </w:tr>
      <w:tr w:rsidR="008F265F" w14:paraId="5E881B89" w14:textId="77777777">
        <w:trPr>
          <w:jc w:val="center"/>
        </w:trPr>
        <w:tc>
          <w:tcPr>
            <w:tcW w:w="3114" w:type="dxa"/>
            <w:vAlign w:val="center"/>
          </w:tcPr>
          <w:p w14:paraId="5931BB66"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2、 较轻急性心肌梗死</w:t>
            </w:r>
          </w:p>
        </w:tc>
        <w:tc>
          <w:tcPr>
            <w:tcW w:w="2977" w:type="dxa"/>
            <w:vAlign w:val="center"/>
          </w:tcPr>
          <w:p w14:paraId="63EF156A"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 xml:space="preserve">19、 </w:t>
            </w:r>
            <w:r>
              <w:rPr>
                <w:rFonts w:ascii="宋体" w:eastAsiaTheme="minorEastAsia" w:hAnsi="宋体"/>
                <w:color w:val="000000"/>
                <w:sz w:val="15"/>
                <w:szCs w:val="20"/>
              </w:rPr>
              <w:t>糖尿病</w:t>
            </w:r>
            <w:r>
              <w:rPr>
                <w:rFonts w:ascii="宋体" w:eastAsiaTheme="minorEastAsia" w:hAnsi="宋体" w:hint="eastAsia"/>
                <w:color w:val="000000"/>
                <w:sz w:val="15"/>
                <w:szCs w:val="20"/>
              </w:rPr>
              <w:t>视网膜增生性病变</w:t>
            </w:r>
          </w:p>
        </w:tc>
        <w:tc>
          <w:tcPr>
            <w:tcW w:w="2971" w:type="dxa"/>
            <w:vAlign w:val="center"/>
          </w:tcPr>
          <w:p w14:paraId="661569C8" w14:textId="77777777" w:rsidR="008F265F" w:rsidRDefault="00A542E4">
            <w:pPr>
              <w:rPr>
                <w:rFonts w:ascii="宋体" w:hAnsi="宋体" w:cs="宋体"/>
                <w:kern w:val="0"/>
                <w:sz w:val="15"/>
                <w:szCs w:val="21"/>
              </w:rPr>
            </w:pPr>
            <w:r>
              <w:rPr>
                <w:rFonts w:ascii="宋体" w:eastAsiaTheme="minorEastAsia" w:hAnsi="宋体"/>
                <w:color w:val="000000"/>
                <w:sz w:val="15"/>
                <w:szCs w:val="20"/>
              </w:rPr>
              <w:t>36</w:t>
            </w:r>
            <w:r>
              <w:rPr>
                <w:rFonts w:ascii="宋体" w:eastAsiaTheme="minorEastAsia" w:hAnsi="宋体" w:hint="eastAsia"/>
                <w:color w:val="000000"/>
                <w:sz w:val="15"/>
                <w:szCs w:val="20"/>
              </w:rPr>
              <w:t>、 中度听力受损——</w:t>
            </w:r>
            <w:r w:rsidRPr="00FD5F2C">
              <w:rPr>
                <w:rFonts w:ascii="宋体" w:eastAsiaTheme="minorEastAsia" w:hAnsi="宋体" w:hint="eastAsia"/>
                <w:color w:val="000000"/>
                <w:sz w:val="15"/>
                <w:szCs w:val="20"/>
                <w:shd w:val="pct15" w:color="auto" w:fill="FFFFFF"/>
              </w:rPr>
              <w:t>三周岁后始理赔</w:t>
            </w:r>
          </w:p>
        </w:tc>
      </w:tr>
      <w:tr w:rsidR="008F265F" w14:paraId="0D7E1EDF" w14:textId="77777777">
        <w:trPr>
          <w:jc w:val="center"/>
        </w:trPr>
        <w:tc>
          <w:tcPr>
            <w:tcW w:w="3114" w:type="dxa"/>
            <w:vAlign w:val="center"/>
          </w:tcPr>
          <w:p w14:paraId="2695369B"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3、 轻度脑中风后遗症</w:t>
            </w:r>
          </w:p>
        </w:tc>
        <w:tc>
          <w:tcPr>
            <w:tcW w:w="2977" w:type="dxa"/>
            <w:vAlign w:val="center"/>
          </w:tcPr>
          <w:p w14:paraId="455C97FF"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20、 心包膜切除术</w:t>
            </w:r>
          </w:p>
        </w:tc>
        <w:tc>
          <w:tcPr>
            <w:tcW w:w="2971" w:type="dxa"/>
            <w:vAlign w:val="center"/>
          </w:tcPr>
          <w:p w14:paraId="0C3FFA9D" w14:textId="77777777" w:rsidR="008F265F" w:rsidRDefault="00A542E4">
            <w:pPr>
              <w:rPr>
                <w:rFonts w:ascii="宋体" w:hAnsi="宋体" w:cs="宋体"/>
                <w:kern w:val="0"/>
                <w:sz w:val="15"/>
                <w:szCs w:val="21"/>
              </w:rPr>
            </w:pPr>
            <w:r>
              <w:rPr>
                <w:rFonts w:ascii="宋体" w:eastAsiaTheme="minorEastAsia" w:hAnsi="宋体"/>
                <w:color w:val="000000"/>
                <w:sz w:val="15"/>
                <w:szCs w:val="20"/>
              </w:rPr>
              <w:t>37</w:t>
            </w:r>
            <w:r>
              <w:rPr>
                <w:rFonts w:ascii="宋体" w:eastAsiaTheme="minorEastAsia" w:hAnsi="宋体" w:hint="eastAsia"/>
                <w:color w:val="000000"/>
                <w:sz w:val="15"/>
                <w:szCs w:val="20"/>
              </w:rPr>
              <w:t>、 人工耳蜗植入术</w:t>
            </w:r>
          </w:p>
        </w:tc>
      </w:tr>
      <w:tr w:rsidR="008F265F" w14:paraId="4D135820" w14:textId="77777777">
        <w:trPr>
          <w:jc w:val="center"/>
        </w:trPr>
        <w:tc>
          <w:tcPr>
            <w:tcW w:w="3114" w:type="dxa"/>
            <w:vAlign w:val="center"/>
          </w:tcPr>
          <w:p w14:paraId="3A730F94"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4、 激光心肌血运重建术</w:t>
            </w:r>
          </w:p>
        </w:tc>
        <w:tc>
          <w:tcPr>
            <w:tcW w:w="2977" w:type="dxa"/>
            <w:vAlign w:val="center"/>
          </w:tcPr>
          <w:p w14:paraId="6B296DF1"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 xml:space="preserve">21、 </w:t>
            </w:r>
            <w:r>
              <w:rPr>
                <w:rFonts w:ascii="宋体" w:eastAsiaTheme="minorEastAsia" w:hAnsi="宋体"/>
                <w:color w:val="000000"/>
                <w:sz w:val="15"/>
                <w:szCs w:val="20"/>
              </w:rPr>
              <w:t>左半肝或右半肝</w:t>
            </w:r>
            <w:r>
              <w:rPr>
                <w:rFonts w:ascii="宋体" w:eastAsiaTheme="minorEastAsia" w:hAnsi="宋体" w:hint="eastAsia"/>
                <w:color w:val="000000"/>
                <w:sz w:val="15"/>
                <w:szCs w:val="20"/>
              </w:rPr>
              <w:t>切除术</w:t>
            </w:r>
          </w:p>
        </w:tc>
        <w:tc>
          <w:tcPr>
            <w:tcW w:w="2971" w:type="dxa"/>
            <w:vAlign w:val="center"/>
          </w:tcPr>
          <w:p w14:paraId="2F6B93D6" w14:textId="77777777" w:rsidR="008F265F" w:rsidRDefault="00A542E4">
            <w:pPr>
              <w:rPr>
                <w:rFonts w:ascii="宋体" w:hAnsi="宋体" w:cs="宋体"/>
                <w:kern w:val="0"/>
                <w:sz w:val="15"/>
                <w:szCs w:val="21"/>
              </w:rPr>
            </w:pPr>
            <w:r>
              <w:rPr>
                <w:rFonts w:ascii="宋体" w:eastAsiaTheme="minorEastAsia" w:hAnsi="宋体"/>
                <w:color w:val="000000"/>
                <w:sz w:val="15"/>
                <w:szCs w:val="20"/>
              </w:rPr>
              <w:t>38</w:t>
            </w:r>
            <w:r>
              <w:rPr>
                <w:rFonts w:ascii="宋体" w:eastAsiaTheme="minorEastAsia" w:hAnsi="宋体" w:hint="eastAsia"/>
                <w:color w:val="000000"/>
                <w:sz w:val="15"/>
                <w:szCs w:val="20"/>
              </w:rPr>
              <w:t>、 轻度感染性心内膜炎</w:t>
            </w:r>
          </w:p>
        </w:tc>
      </w:tr>
      <w:tr w:rsidR="008F265F" w14:paraId="52F5CE85" w14:textId="77777777">
        <w:trPr>
          <w:jc w:val="center"/>
        </w:trPr>
        <w:tc>
          <w:tcPr>
            <w:tcW w:w="3114" w:type="dxa"/>
            <w:vAlign w:val="center"/>
          </w:tcPr>
          <w:p w14:paraId="7A28A63A"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5、</w:t>
            </w:r>
            <w:r>
              <w:rPr>
                <w:rFonts w:ascii="宋体" w:eastAsiaTheme="minorEastAsia" w:hAnsi="宋体"/>
                <w:color w:val="000000"/>
                <w:sz w:val="15"/>
                <w:szCs w:val="20"/>
              </w:rPr>
              <w:t xml:space="preserve"> </w:t>
            </w:r>
            <w:r>
              <w:rPr>
                <w:rFonts w:ascii="宋体" w:eastAsiaTheme="minorEastAsia" w:hAnsi="宋体" w:hint="eastAsia"/>
                <w:color w:val="000000"/>
                <w:sz w:val="15"/>
                <w:szCs w:val="20"/>
              </w:rPr>
              <w:t>急性重症肝炎人工肝治疗</w:t>
            </w:r>
          </w:p>
        </w:tc>
        <w:tc>
          <w:tcPr>
            <w:tcW w:w="2977" w:type="dxa"/>
            <w:vAlign w:val="center"/>
          </w:tcPr>
          <w:p w14:paraId="047E00C6"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22、 植入大脑内分流器</w:t>
            </w:r>
          </w:p>
        </w:tc>
        <w:tc>
          <w:tcPr>
            <w:tcW w:w="2971" w:type="dxa"/>
            <w:vAlign w:val="center"/>
          </w:tcPr>
          <w:p w14:paraId="70F06F96" w14:textId="77777777" w:rsidR="008F265F" w:rsidRDefault="00A542E4">
            <w:pPr>
              <w:rPr>
                <w:rFonts w:ascii="宋体" w:hAnsi="宋体" w:cs="宋体"/>
                <w:kern w:val="0"/>
                <w:sz w:val="15"/>
                <w:szCs w:val="21"/>
              </w:rPr>
            </w:pPr>
            <w:r>
              <w:rPr>
                <w:rFonts w:ascii="宋体" w:eastAsiaTheme="minorEastAsia" w:hAnsi="宋体"/>
                <w:color w:val="000000"/>
                <w:sz w:val="15"/>
                <w:szCs w:val="20"/>
              </w:rPr>
              <w:t>39</w:t>
            </w:r>
            <w:r>
              <w:rPr>
                <w:rFonts w:ascii="宋体" w:eastAsiaTheme="minorEastAsia" w:hAnsi="宋体" w:hint="eastAsia"/>
                <w:color w:val="000000"/>
                <w:sz w:val="15"/>
                <w:szCs w:val="20"/>
              </w:rPr>
              <w:t>、 继发性肺动脉高压</w:t>
            </w:r>
          </w:p>
        </w:tc>
      </w:tr>
      <w:tr w:rsidR="008F265F" w14:paraId="4F85BC7B" w14:textId="77777777">
        <w:trPr>
          <w:jc w:val="center"/>
        </w:trPr>
        <w:tc>
          <w:tcPr>
            <w:tcW w:w="3114" w:type="dxa"/>
            <w:vAlign w:val="center"/>
          </w:tcPr>
          <w:p w14:paraId="3B009610"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6、 病毒性肝炎导致的肝硬化</w:t>
            </w:r>
          </w:p>
        </w:tc>
        <w:tc>
          <w:tcPr>
            <w:tcW w:w="2977" w:type="dxa"/>
            <w:vAlign w:val="center"/>
          </w:tcPr>
          <w:p w14:paraId="2089C42C"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23、 双侧睾丸切除术</w:t>
            </w:r>
          </w:p>
        </w:tc>
        <w:tc>
          <w:tcPr>
            <w:tcW w:w="2971" w:type="dxa"/>
            <w:vAlign w:val="center"/>
          </w:tcPr>
          <w:p w14:paraId="60379616" w14:textId="77777777" w:rsidR="008F265F" w:rsidRDefault="00A542E4">
            <w:pPr>
              <w:rPr>
                <w:rFonts w:ascii="宋体" w:hAnsi="宋体" w:cs="宋体"/>
                <w:kern w:val="0"/>
                <w:sz w:val="15"/>
                <w:szCs w:val="21"/>
              </w:rPr>
            </w:pPr>
            <w:r>
              <w:rPr>
                <w:rFonts w:ascii="宋体" w:eastAsiaTheme="minorEastAsia" w:hAnsi="宋体"/>
                <w:color w:val="000000"/>
                <w:sz w:val="15"/>
                <w:szCs w:val="20"/>
              </w:rPr>
              <w:t>40</w:t>
            </w:r>
            <w:r>
              <w:rPr>
                <w:rFonts w:ascii="宋体" w:eastAsiaTheme="minorEastAsia" w:hAnsi="宋体" w:hint="eastAsia"/>
                <w:color w:val="000000"/>
                <w:sz w:val="15"/>
                <w:szCs w:val="20"/>
              </w:rPr>
              <w:t>、 严重阻塞性睡眠呼吸暂停综合征</w:t>
            </w:r>
          </w:p>
        </w:tc>
      </w:tr>
      <w:tr w:rsidR="008F265F" w14:paraId="332E8AFE" w14:textId="77777777">
        <w:trPr>
          <w:jc w:val="center"/>
        </w:trPr>
        <w:tc>
          <w:tcPr>
            <w:tcW w:w="3114" w:type="dxa"/>
            <w:vAlign w:val="center"/>
          </w:tcPr>
          <w:p w14:paraId="589CA980"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7、 脑垂体瘤、脑囊肿、脑动脉瘤及脑血管瘤</w:t>
            </w:r>
          </w:p>
        </w:tc>
        <w:tc>
          <w:tcPr>
            <w:tcW w:w="2977" w:type="dxa"/>
            <w:vAlign w:val="center"/>
          </w:tcPr>
          <w:p w14:paraId="0D1F8625"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24、 双侧卵巢切除术</w:t>
            </w:r>
          </w:p>
        </w:tc>
        <w:tc>
          <w:tcPr>
            <w:tcW w:w="2971" w:type="dxa"/>
            <w:vAlign w:val="center"/>
          </w:tcPr>
          <w:p w14:paraId="0D69E979" w14:textId="77777777" w:rsidR="008F265F" w:rsidRDefault="00A542E4">
            <w:pPr>
              <w:rPr>
                <w:rFonts w:ascii="宋体" w:hAnsi="宋体" w:cs="宋体"/>
                <w:kern w:val="0"/>
                <w:sz w:val="15"/>
                <w:szCs w:val="21"/>
              </w:rPr>
            </w:pPr>
            <w:r>
              <w:rPr>
                <w:rFonts w:ascii="宋体" w:eastAsiaTheme="minorEastAsia" w:hAnsi="宋体"/>
                <w:color w:val="000000"/>
                <w:sz w:val="15"/>
                <w:szCs w:val="20"/>
              </w:rPr>
              <w:t>41</w:t>
            </w:r>
            <w:r>
              <w:rPr>
                <w:rFonts w:ascii="宋体" w:eastAsiaTheme="minorEastAsia" w:hAnsi="宋体" w:hint="eastAsia"/>
                <w:color w:val="000000"/>
                <w:sz w:val="15"/>
                <w:szCs w:val="20"/>
              </w:rPr>
              <w:t>、 永久性心脏除颤器植入</w:t>
            </w:r>
          </w:p>
        </w:tc>
      </w:tr>
      <w:tr w:rsidR="008F265F" w14:paraId="42C2D8DE" w14:textId="77777777">
        <w:trPr>
          <w:jc w:val="center"/>
        </w:trPr>
        <w:tc>
          <w:tcPr>
            <w:tcW w:w="3114" w:type="dxa"/>
            <w:vAlign w:val="center"/>
          </w:tcPr>
          <w:p w14:paraId="1B97096B"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8、 角膜移植术</w:t>
            </w:r>
          </w:p>
        </w:tc>
        <w:tc>
          <w:tcPr>
            <w:tcW w:w="2977" w:type="dxa"/>
            <w:vAlign w:val="center"/>
          </w:tcPr>
          <w:p w14:paraId="0C510ADE"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25、 心脏瓣膜介入手术</w:t>
            </w:r>
          </w:p>
        </w:tc>
        <w:tc>
          <w:tcPr>
            <w:tcW w:w="2971" w:type="dxa"/>
            <w:vAlign w:val="center"/>
          </w:tcPr>
          <w:p w14:paraId="1C1A9495" w14:textId="77777777" w:rsidR="008F265F" w:rsidRDefault="00A542E4">
            <w:pPr>
              <w:rPr>
                <w:rFonts w:ascii="宋体" w:hAnsi="宋体" w:cs="宋体"/>
                <w:kern w:val="0"/>
                <w:sz w:val="15"/>
                <w:szCs w:val="21"/>
              </w:rPr>
            </w:pPr>
            <w:r>
              <w:rPr>
                <w:rFonts w:ascii="宋体" w:eastAsiaTheme="minorEastAsia" w:hAnsi="宋体"/>
                <w:color w:val="000000"/>
                <w:sz w:val="15"/>
                <w:szCs w:val="20"/>
              </w:rPr>
              <w:t>42</w:t>
            </w:r>
            <w:r>
              <w:rPr>
                <w:rFonts w:ascii="宋体" w:eastAsiaTheme="minorEastAsia" w:hAnsi="宋体" w:hint="eastAsia"/>
                <w:color w:val="000000"/>
                <w:sz w:val="15"/>
                <w:szCs w:val="20"/>
              </w:rPr>
              <w:t>、 早期肝硬化</w:t>
            </w:r>
          </w:p>
        </w:tc>
      </w:tr>
      <w:tr w:rsidR="008F265F" w14:paraId="5F5CCD8D" w14:textId="77777777">
        <w:trPr>
          <w:jc w:val="center"/>
        </w:trPr>
        <w:tc>
          <w:tcPr>
            <w:tcW w:w="3114" w:type="dxa"/>
            <w:vAlign w:val="center"/>
          </w:tcPr>
          <w:p w14:paraId="48069417"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9、 单目失明——</w:t>
            </w:r>
            <w:r w:rsidRPr="00FD5F2C">
              <w:rPr>
                <w:rFonts w:ascii="宋体" w:eastAsiaTheme="minorEastAsia" w:hAnsi="宋体" w:hint="eastAsia"/>
                <w:color w:val="000000"/>
                <w:sz w:val="15"/>
                <w:szCs w:val="20"/>
                <w:shd w:val="pct15" w:color="auto" w:fill="FFFFFF"/>
              </w:rPr>
              <w:t>三周岁后始理赔</w:t>
            </w:r>
          </w:p>
        </w:tc>
        <w:tc>
          <w:tcPr>
            <w:tcW w:w="2977" w:type="dxa"/>
            <w:vAlign w:val="center"/>
          </w:tcPr>
          <w:p w14:paraId="3F6C0F39"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 xml:space="preserve">26、 </w:t>
            </w:r>
            <w:r>
              <w:rPr>
                <w:rFonts w:ascii="宋体" w:eastAsiaTheme="minorEastAsia" w:hAnsi="宋体"/>
                <w:color w:val="000000"/>
                <w:sz w:val="15"/>
                <w:szCs w:val="20"/>
              </w:rPr>
              <w:t>特</w:t>
            </w:r>
            <w:r>
              <w:rPr>
                <w:rFonts w:ascii="宋体" w:eastAsiaTheme="minorEastAsia" w:hAnsi="宋体" w:hint="eastAsia"/>
                <w:color w:val="000000"/>
                <w:sz w:val="15"/>
                <w:szCs w:val="20"/>
              </w:rPr>
              <w:t>发性肺动脉高压</w:t>
            </w:r>
          </w:p>
        </w:tc>
        <w:tc>
          <w:tcPr>
            <w:tcW w:w="2971" w:type="dxa"/>
            <w:vAlign w:val="center"/>
          </w:tcPr>
          <w:p w14:paraId="2F90C185" w14:textId="77777777" w:rsidR="008F265F" w:rsidRDefault="00A542E4">
            <w:pPr>
              <w:rPr>
                <w:rFonts w:ascii="宋体" w:hAnsi="宋体" w:cs="宋体"/>
                <w:kern w:val="0"/>
                <w:sz w:val="15"/>
                <w:szCs w:val="21"/>
              </w:rPr>
            </w:pPr>
            <w:r>
              <w:rPr>
                <w:rFonts w:ascii="宋体" w:eastAsiaTheme="minorEastAsia" w:hAnsi="宋体"/>
                <w:color w:val="000000"/>
                <w:sz w:val="15"/>
                <w:szCs w:val="20"/>
              </w:rPr>
              <w:t>43</w:t>
            </w:r>
            <w:r>
              <w:rPr>
                <w:rFonts w:ascii="宋体" w:eastAsiaTheme="minorEastAsia" w:hAnsi="宋体" w:hint="eastAsia"/>
                <w:color w:val="000000"/>
                <w:sz w:val="15"/>
                <w:szCs w:val="20"/>
              </w:rPr>
              <w:t>、 慢性肝衰竭代偿早期</w:t>
            </w:r>
          </w:p>
        </w:tc>
      </w:tr>
      <w:tr w:rsidR="008F265F" w14:paraId="2C757B1F" w14:textId="77777777">
        <w:trPr>
          <w:jc w:val="center"/>
        </w:trPr>
        <w:tc>
          <w:tcPr>
            <w:tcW w:w="3114" w:type="dxa"/>
            <w:vAlign w:val="center"/>
          </w:tcPr>
          <w:p w14:paraId="064689F2"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10、 心脏起搏器植入术</w:t>
            </w:r>
          </w:p>
        </w:tc>
        <w:tc>
          <w:tcPr>
            <w:tcW w:w="2977" w:type="dxa"/>
            <w:vAlign w:val="center"/>
          </w:tcPr>
          <w:p w14:paraId="5B26B5B8"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27、 早期原发性心肌病</w:t>
            </w:r>
          </w:p>
        </w:tc>
        <w:tc>
          <w:tcPr>
            <w:tcW w:w="2971" w:type="dxa"/>
            <w:vAlign w:val="center"/>
          </w:tcPr>
          <w:p w14:paraId="77164582" w14:textId="77777777" w:rsidR="008F265F" w:rsidRDefault="00A542E4">
            <w:pPr>
              <w:rPr>
                <w:rFonts w:ascii="宋体" w:hAnsi="宋体" w:cs="宋体"/>
                <w:kern w:val="0"/>
                <w:sz w:val="15"/>
                <w:szCs w:val="21"/>
              </w:rPr>
            </w:pPr>
            <w:r>
              <w:rPr>
                <w:rFonts w:ascii="宋体" w:eastAsiaTheme="minorEastAsia" w:hAnsi="宋体"/>
                <w:color w:val="000000"/>
                <w:sz w:val="15"/>
                <w:szCs w:val="20"/>
              </w:rPr>
              <w:t>44</w:t>
            </w:r>
            <w:r>
              <w:rPr>
                <w:rFonts w:ascii="宋体" w:eastAsiaTheme="minorEastAsia" w:hAnsi="宋体" w:hint="eastAsia"/>
                <w:color w:val="000000"/>
                <w:sz w:val="15"/>
                <w:szCs w:val="20"/>
              </w:rPr>
              <w:t>、 慢性阻塞性肺病</w:t>
            </w:r>
          </w:p>
        </w:tc>
      </w:tr>
      <w:tr w:rsidR="008F265F" w14:paraId="5169E057" w14:textId="77777777">
        <w:trPr>
          <w:jc w:val="center"/>
        </w:trPr>
        <w:tc>
          <w:tcPr>
            <w:tcW w:w="3114" w:type="dxa"/>
            <w:vAlign w:val="center"/>
          </w:tcPr>
          <w:p w14:paraId="32012782"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11、 轻度面部烧伤</w:t>
            </w:r>
          </w:p>
        </w:tc>
        <w:tc>
          <w:tcPr>
            <w:tcW w:w="2977" w:type="dxa"/>
            <w:vAlign w:val="center"/>
          </w:tcPr>
          <w:p w14:paraId="7155787F"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 xml:space="preserve">28、 </w:t>
            </w:r>
            <w:r>
              <w:rPr>
                <w:rFonts w:ascii="宋体" w:hAnsi="宋体" w:cs="Arial" w:hint="eastAsia"/>
                <w:bCs/>
                <w:snapToGrid w:val="0"/>
                <w:color w:val="000000"/>
                <w:sz w:val="15"/>
              </w:rPr>
              <w:t>主动脉介入手术</w:t>
            </w:r>
          </w:p>
        </w:tc>
        <w:tc>
          <w:tcPr>
            <w:tcW w:w="2971" w:type="dxa"/>
            <w:vAlign w:val="center"/>
          </w:tcPr>
          <w:p w14:paraId="76FC8AE8" w14:textId="77777777" w:rsidR="008F265F" w:rsidRDefault="00A542E4">
            <w:pPr>
              <w:rPr>
                <w:rFonts w:ascii="宋体" w:hAnsi="宋体" w:cs="宋体"/>
                <w:kern w:val="0"/>
                <w:sz w:val="15"/>
                <w:szCs w:val="21"/>
              </w:rPr>
            </w:pPr>
            <w:r>
              <w:rPr>
                <w:rFonts w:ascii="宋体" w:eastAsiaTheme="minorEastAsia" w:hAnsi="宋体"/>
                <w:color w:val="000000"/>
                <w:sz w:val="15"/>
                <w:szCs w:val="20"/>
              </w:rPr>
              <w:t>45</w:t>
            </w:r>
            <w:r>
              <w:rPr>
                <w:rFonts w:ascii="宋体" w:eastAsiaTheme="minorEastAsia" w:hAnsi="宋体" w:hint="eastAsia"/>
                <w:color w:val="000000"/>
                <w:sz w:val="15"/>
                <w:szCs w:val="20"/>
              </w:rPr>
              <w:t>、 中度再生障碍性贫血</w:t>
            </w:r>
          </w:p>
        </w:tc>
      </w:tr>
      <w:tr w:rsidR="008F265F" w14:paraId="44CCB1E1" w14:textId="77777777">
        <w:trPr>
          <w:jc w:val="center"/>
        </w:trPr>
        <w:tc>
          <w:tcPr>
            <w:tcW w:w="3114" w:type="dxa"/>
            <w:vAlign w:val="center"/>
          </w:tcPr>
          <w:p w14:paraId="65D03F65"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12、 面部重建手术</w:t>
            </w:r>
          </w:p>
        </w:tc>
        <w:tc>
          <w:tcPr>
            <w:tcW w:w="2977" w:type="dxa"/>
            <w:vAlign w:val="center"/>
          </w:tcPr>
          <w:p w14:paraId="011D0513" w14:textId="77777777" w:rsidR="008F265F" w:rsidRDefault="00A542E4">
            <w:pPr>
              <w:rPr>
                <w:rFonts w:ascii="宋体" w:hAnsi="宋体" w:cs="宋体"/>
                <w:kern w:val="0"/>
                <w:sz w:val="15"/>
                <w:szCs w:val="21"/>
              </w:rPr>
            </w:pPr>
            <w:r>
              <w:rPr>
                <w:rFonts w:ascii="宋体" w:eastAsiaTheme="minorEastAsia" w:hAnsi="宋体" w:hint="eastAsia"/>
                <w:color w:val="000000"/>
                <w:sz w:val="15"/>
                <w:szCs w:val="20"/>
              </w:rPr>
              <w:t>29、 早期系统性硬皮病</w:t>
            </w:r>
          </w:p>
        </w:tc>
        <w:tc>
          <w:tcPr>
            <w:tcW w:w="2971" w:type="dxa"/>
            <w:vAlign w:val="center"/>
          </w:tcPr>
          <w:p w14:paraId="51585549" w14:textId="77777777" w:rsidR="008F265F" w:rsidRDefault="00A542E4">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6</w:t>
            </w:r>
            <w:r>
              <w:rPr>
                <w:rFonts w:ascii="宋体" w:hAnsi="宋体" w:cs="宋体" w:hint="eastAsia"/>
                <w:kern w:val="0"/>
                <w:sz w:val="15"/>
                <w:szCs w:val="21"/>
              </w:rPr>
              <w:t>、 外伤性颅内血肿清除术</w:t>
            </w:r>
          </w:p>
        </w:tc>
      </w:tr>
      <w:tr w:rsidR="008F265F" w14:paraId="172638CE" w14:textId="77777777">
        <w:trPr>
          <w:jc w:val="center"/>
        </w:trPr>
        <w:tc>
          <w:tcPr>
            <w:tcW w:w="3114" w:type="dxa"/>
            <w:vAlign w:val="center"/>
          </w:tcPr>
          <w:p w14:paraId="7BD0DA4E"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13、 微创颅脑手术</w:t>
            </w:r>
          </w:p>
        </w:tc>
        <w:tc>
          <w:tcPr>
            <w:tcW w:w="2977" w:type="dxa"/>
            <w:vAlign w:val="center"/>
          </w:tcPr>
          <w:p w14:paraId="1653CCD0"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30、 丝虫感染所致早期象皮病</w:t>
            </w:r>
          </w:p>
        </w:tc>
        <w:tc>
          <w:tcPr>
            <w:tcW w:w="2971" w:type="dxa"/>
            <w:vAlign w:val="center"/>
          </w:tcPr>
          <w:p w14:paraId="27E4FF63" w14:textId="77777777" w:rsidR="008F265F" w:rsidRDefault="00A542E4">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7</w:t>
            </w:r>
            <w:r>
              <w:rPr>
                <w:rFonts w:ascii="宋体" w:hAnsi="宋体" w:cs="宋体" w:hint="eastAsia"/>
                <w:kern w:val="0"/>
                <w:sz w:val="15"/>
                <w:szCs w:val="21"/>
              </w:rPr>
              <w:t>、 骨质疏松骨折髋关节置换手术</w:t>
            </w:r>
          </w:p>
        </w:tc>
      </w:tr>
      <w:tr w:rsidR="008F265F" w14:paraId="06AADDD7" w14:textId="77777777">
        <w:trPr>
          <w:jc w:val="center"/>
        </w:trPr>
        <w:tc>
          <w:tcPr>
            <w:tcW w:w="3114" w:type="dxa"/>
            <w:vAlign w:val="center"/>
          </w:tcPr>
          <w:p w14:paraId="305E0763"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14、 系统性红斑狼疮</w:t>
            </w:r>
          </w:p>
        </w:tc>
        <w:tc>
          <w:tcPr>
            <w:tcW w:w="2977" w:type="dxa"/>
            <w:vAlign w:val="center"/>
          </w:tcPr>
          <w:p w14:paraId="224E1E8F"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31、 因肾上腺皮</w:t>
            </w:r>
            <w:r>
              <w:rPr>
                <w:rFonts w:ascii="宋体" w:eastAsiaTheme="minorEastAsia" w:hAnsi="宋体"/>
                <w:color w:val="000000"/>
                <w:sz w:val="15"/>
                <w:szCs w:val="20"/>
              </w:rPr>
              <w:t>质</w:t>
            </w:r>
            <w:r>
              <w:rPr>
                <w:rFonts w:ascii="宋体" w:eastAsiaTheme="minorEastAsia" w:hAnsi="宋体" w:hint="eastAsia"/>
                <w:color w:val="000000"/>
                <w:sz w:val="15"/>
                <w:szCs w:val="20"/>
              </w:rPr>
              <w:t>腺瘤切除肾上腺</w:t>
            </w:r>
          </w:p>
        </w:tc>
        <w:tc>
          <w:tcPr>
            <w:tcW w:w="2971" w:type="dxa"/>
            <w:vAlign w:val="center"/>
          </w:tcPr>
          <w:p w14:paraId="29F71344" w14:textId="77777777" w:rsidR="008F265F" w:rsidRDefault="00A542E4">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8</w:t>
            </w:r>
            <w:r>
              <w:rPr>
                <w:rFonts w:ascii="宋体" w:hAnsi="宋体" w:cs="宋体" w:hint="eastAsia"/>
                <w:kern w:val="0"/>
                <w:sz w:val="15"/>
                <w:szCs w:val="21"/>
              </w:rPr>
              <w:t>、 多发肋骨骨折</w:t>
            </w:r>
          </w:p>
        </w:tc>
      </w:tr>
      <w:tr w:rsidR="008F265F" w14:paraId="08B52C23" w14:textId="77777777">
        <w:trPr>
          <w:jc w:val="center"/>
        </w:trPr>
        <w:tc>
          <w:tcPr>
            <w:tcW w:w="3114" w:type="dxa"/>
            <w:vAlign w:val="center"/>
          </w:tcPr>
          <w:p w14:paraId="640D352E"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15、 视力严重受损——</w:t>
            </w:r>
            <w:r w:rsidRPr="00FD5F2C">
              <w:rPr>
                <w:rFonts w:ascii="宋体" w:eastAsiaTheme="minorEastAsia" w:hAnsi="宋体" w:hint="eastAsia"/>
                <w:color w:val="000000"/>
                <w:sz w:val="15"/>
                <w:szCs w:val="20"/>
                <w:shd w:val="pct15" w:color="auto" w:fill="FFFFFF"/>
              </w:rPr>
              <w:t>三周岁后始理赔</w:t>
            </w:r>
          </w:p>
        </w:tc>
        <w:tc>
          <w:tcPr>
            <w:tcW w:w="2977" w:type="dxa"/>
            <w:vAlign w:val="center"/>
          </w:tcPr>
          <w:p w14:paraId="69BE08C4"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32、 原位癌</w:t>
            </w:r>
          </w:p>
        </w:tc>
        <w:tc>
          <w:tcPr>
            <w:tcW w:w="2971" w:type="dxa"/>
            <w:vAlign w:val="center"/>
          </w:tcPr>
          <w:p w14:paraId="3A6325FD" w14:textId="77777777" w:rsidR="008F265F" w:rsidRDefault="00A542E4">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9</w:t>
            </w:r>
            <w:r>
              <w:rPr>
                <w:rFonts w:ascii="宋体" w:hAnsi="宋体" w:cs="宋体" w:hint="eastAsia"/>
                <w:kern w:val="0"/>
                <w:sz w:val="15"/>
                <w:szCs w:val="21"/>
              </w:rPr>
              <w:t>、 急性肾衰竭肾脏透析治疗</w:t>
            </w:r>
          </w:p>
        </w:tc>
      </w:tr>
      <w:tr w:rsidR="008F265F" w14:paraId="223CE004" w14:textId="77777777">
        <w:trPr>
          <w:jc w:val="center"/>
        </w:trPr>
        <w:tc>
          <w:tcPr>
            <w:tcW w:w="3114" w:type="dxa"/>
            <w:vAlign w:val="center"/>
          </w:tcPr>
          <w:p w14:paraId="296AEA4C"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16、 慢性肝功能衰竭</w:t>
            </w:r>
          </w:p>
        </w:tc>
        <w:tc>
          <w:tcPr>
            <w:tcW w:w="2977" w:type="dxa"/>
            <w:vAlign w:val="center"/>
          </w:tcPr>
          <w:p w14:paraId="05AB2634"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3</w:t>
            </w:r>
            <w:r>
              <w:rPr>
                <w:rFonts w:ascii="宋体" w:eastAsiaTheme="minorEastAsia" w:hAnsi="宋体"/>
                <w:color w:val="000000"/>
                <w:sz w:val="15"/>
                <w:szCs w:val="20"/>
              </w:rPr>
              <w:t>3</w:t>
            </w:r>
            <w:r>
              <w:rPr>
                <w:rFonts w:ascii="宋体" w:eastAsiaTheme="minorEastAsia" w:hAnsi="宋体" w:hint="eastAsia"/>
                <w:color w:val="000000"/>
                <w:sz w:val="15"/>
                <w:szCs w:val="20"/>
              </w:rPr>
              <w:t>、 轻度急性坏死性筋膜炎</w:t>
            </w:r>
          </w:p>
        </w:tc>
        <w:tc>
          <w:tcPr>
            <w:tcW w:w="2971" w:type="dxa"/>
            <w:vAlign w:val="center"/>
          </w:tcPr>
          <w:p w14:paraId="11E53C09" w14:textId="77777777" w:rsidR="008F265F" w:rsidRDefault="00A542E4">
            <w:pPr>
              <w:rPr>
                <w:rFonts w:ascii="宋体" w:hAnsi="宋体" w:cs="宋体"/>
                <w:kern w:val="0"/>
                <w:sz w:val="15"/>
                <w:szCs w:val="21"/>
              </w:rPr>
            </w:pPr>
            <w:r>
              <w:rPr>
                <w:rFonts w:ascii="宋体" w:hAnsi="宋体" w:cs="宋体" w:hint="eastAsia"/>
                <w:kern w:val="0"/>
                <w:sz w:val="15"/>
                <w:szCs w:val="21"/>
              </w:rPr>
              <w:t>5</w:t>
            </w:r>
            <w:r>
              <w:rPr>
                <w:rFonts w:ascii="宋体" w:hAnsi="宋体" w:cs="宋体"/>
                <w:kern w:val="0"/>
                <w:sz w:val="15"/>
                <w:szCs w:val="21"/>
              </w:rPr>
              <w:t>0</w:t>
            </w:r>
            <w:r>
              <w:rPr>
                <w:rFonts w:ascii="宋体" w:hAnsi="宋体" w:cs="宋体" w:hint="eastAsia"/>
                <w:kern w:val="0"/>
                <w:sz w:val="15"/>
                <w:szCs w:val="21"/>
              </w:rPr>
              <w:t>、 急性坏死性胰腺炎腹腔镜手术</w:t>
            </w:r>
          </w:p>
        </w:tc>
      </w:tr>
      <w:tr w:rsidR="008F265F" w14:paraId="7187B66C" w14:textId="77777777">
        <w:trPr>
          <w:jc w:val="center"/>
        </w:trPr>
        <w:tc>
          <w:tcPr>
            <w:tcW w:w="3114" w:type="dxa"/>
            <w:vAlign w:val="center"/>
          </w:tcPr>
          <w:p w14:paraId="146ABC84"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17、 全身较小面积Ⅲ度烧伤</w:t>
            </w:r>
          </w:p>
        </w:tc>
        <w:tc>
          <w:tcPr>
            <w:tcW w:w="2977" w:type="dxa"/>
            <w:vAlign w:val="center"/>
          </w:tcPr>
          <w:p w14:paraId="5DCEDD3B"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3</w:t>
            </w:r>
            <w:r>
              <w:rPr>
                <w:rFonts w:ascii="宋体" w:eastAsiaTheme="minorEastAsia" w:hAnsi="宋体"/>
                <w:color w:val="000000"/>
                <w:sz w:val="15"/>
                <w:szCs w:val="20"/>
              </w:rPr>
              <w:t>4</w:t>
            </w:r>
            <w:r>
              <w:rPr>
                <w:rFonts w:ascii="宋体" w:eastAsiaTheme="minorEastAsia" w:hAnsi="宋体" w:hint="eastAsia"/>
                <w:color w:val="000000"/>
                <w:sz w:val="15"/>
                <w:szCs w:val="20"/>
              </w:rPr>
              <w:t>、 轻度弥漫性硬化</w:t>
            </w:r>
          </w:p>
        </w:tc>
        <w:tc>
          <w:tcPr>
            <w:tcW w:w="2971" w:type="dxa"/>
            <w:vAlign w:val="center"/>
          </w:tcPr>
          <w:p w14:paraId="640A12FF" w14:textId="77777777" w:rsidR="008F265F" w:rsidRDefault="00A542E4">
            <w:pPr>
              <w:rPr>
                <w:rFonts w:ascii="宋体" w:hAnsi="宋体" w:cs="宋体"/>
                <w:kern w:val="0"/>
                <w:sz w:val="15"/>
                <w:szCs w:val="21"/>
              </w:rPr>
            </w:pPr>
            <w:r>
              <w:rPr>
                <w:rFonts w:ascii="宋体" w:hAnsi="宋体" w:cs="宋体" w:hint="eastAsia"/>
                <w:kern w:val="0"/>
                <w:sz w:val="15"/>
                <w:szCs w:val="21"/>
              </w:rPr>
              <w:t>5</w:t>
            </w:r>
            <w:r>
              <w:rPr>
                <w:rFonts w:ascii="宋体" w:hAnsi="宋体" w:cs="宋体"/>
                <w:kern w:val="0"/>
                <w:sz w:val="15"/>
                <w:szCs w:val="21"/>
              </w:rPr>
              <w:t>1</w:t>
            </w:r>
            <w:r>
              <w:rPr>
                <w:rFonts w:ascii="宋体" w:hAnsi="宋体" w:cs="宋体" w:hint="eastAsia"/>
                <w:kern w:val="0"/>
                <w:sz w:val="15"/>
                <w:szCs w:val="21"/>
              </w:rPr>
              <w:t xml:space="preserve">、 </w:t>
            </w:r>
            <w:r>
              <w:rPr>
                <w:rFonts w:ascii="宋体" w:hAnsi="宋体" w:cs="宋体"/>
                <w:kern w:val="0"/>
                <w:sz w:val="15"/>
                <w:szCs w:val="21"/>
              </w:rPr>
              <w:t>昏迷</w:t>
            </w:r>
            <w:r>
              <w:rPr>
                <w:rFonts w:ascii="宋体" w:hAnsi="宋体" w:cs="宋体" w:hint="eastAsia"/>
                <w:kern w:val="0"/>
                <w:sz w:val="15"/>
                <w:szCs w:val="21"/>
              </w:rPr>
              <w:t>4</w:t>
            </w:r>
            <w:r>
              <w:rPr>
                <w:rFonts w:ascii="宋体" w:hAnsi="宋体" w:cs="宋体"/>
                <w:kern w:val="0"/>
                <w:sz w:val="15"/>
                <w:szCs w:val="21"/>
              </w:rPr>
              <w:t>8小时</w:t>
            </w:r>
          </w:p>
        </w:tc>
      </w:tr>
      <w:tr w:rsidR="008F265F" w14:paraId="65F731F4" w14:textId="77777777">
        <w:trPr>
          <w:jc w:val="center"/>
        </w:trPr>
        <w:tc>
          <w:tcPr>
            <w:tcW w:w="9062" w:type="dxa"/>
            <w:gridSpan w:val="3"/>
            <w:vAlign w:val="center"/>
          </w:tcPr>
          <w:p w14:paraId="7E6E3BC0" w14:textId="77777777" w:rsidR="008F265F" w:rsidRDefault="00A542E4">
            <w:pPr>
              <w:autoSpaceDE w:val="0"/>
              <w:autoSpaceDN w:val="0"/>
              <w:adjustRightInd w:val="0"/>
              <w:jc w:val="center"/>
              <w:rPr>
                <w:rFonts w:ascii="宋体" w:hAnsi="宋体" w:cs="宋体"/>
                <w:kern w:val="0"/>
                <w:sz w:val="15"/>
                <w:szCs w:val="21"/>
              </w:rPr>
            </w:pPr>
            <w:r>
              <w:rPr>
                <w:rFonts w:ascii="宋体" w:hAnsi="宋体" w:cs="宋体" w:hint="eastAsia"/>
                <w:b/>
                <w:kern w:val="0"/>
                <w:szCs w:val="21"/>
              </w:rPr>
              <w:t>中症疾病</w:t>
            </w:r>
          </w:p>
        </w:tc>
      </w:tr>
      <w:tr w:rsidR="008F265F" w14:paraId="481F5F6B" w14:textId="77777777">
        <w:trPr>
          <w:jc w:val="center"/>
        </w:trPr>
        <w:tc>
          <w:tcPr>
            <w:tcW w:w="3114" w:type="dxa"/>
            <w:vAlign w:val="center"/>
          </w:tcPr>
          <w:p w14:paraId="57444B8F" w14:textId="77777777" w:rsidR="008F265F" w:rsidRDefault="00A542E4">
            <w:pPr>
              <w:rPr>
                <w:rFonts w:ascii="宋体" w:hAnsi="宋体" w:cs="宋体"/>
                <w:kern w:val="0"/>
                <w:sz w:val="15"/>
                <w:szCs w:val="21"/>
              </w:rPr>
            </w:pPr>
            <w:r>
              <w:rPr>
                <w:rFonts w:ascii="宋体" w:hAnsi="宋体" w:cs="Arial"/>
                <w:bCs/>
                <w:snapToGrid w:val="0"/>
                <w:color w:val="000000"/>
                <w:sz w:val="15"/>
              </w:rPr>
              <w:t>1</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中度进行性核上性麻痹</w:t>
            </w:r>
          </w:p>
        </w:tc>
        <w:tc>
          <w:tcPr>
            <w:tcW w:w="2977" w:type="dxa"/>
            <w:vAlign w:val="center"/>
          </w:tcPr>
          <w:p w14:paraId="721398B2" w14:textId="77777777" w:rsidR="008F265F" w:rsidRDefault="00A542E4">
            <w:pPr>
              <w:rPr>
                <w:rFonts w:ascii="宋体" w:hAnsi="宋体" w:cs="宋体"/>
                <w:kern w:val="0"/>
                <w:sz w:val="15"/>
                <w:szCs w:val="21"/>
              </w:rPr>
            </w:pPr>
            <w:r>
              <w:rPr>
                <w:rFonts w:ascii="宋体" w:hAnsi="宋体" w:cs="Arial"/>
                <w:bCs/>
                <w:snapToGrid w:val="0"/>
                <w:color w:val="000000"/>
                <w:sz w:val="15"/>
              </w:rPr>
              <w:t>11</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腔静脉过滤器植入术</w:t>
            </w:r>
          </w:p>
        </w:tc>
        <w:tc>
          <w:tcPr>
            <w:tcW w:w="2971" w:type="dxa"/>
            <w:vAlign w:val="center"/>
          </w:tcPr>
          <w:p w14:paraId="74D5C625" w14:textId="77777777" w:rsidR="008F265F" w:rsidRDefault="00A542E4">
            <w:pPr>
              <w:rPr>
                <w:rFonts w:ascii="宋体" w:hAnsi="宋体" w:cs="宋体"/>
                <w:kern w:val="0"/>
                <w:sz w:val="15"/>
                <w:szCs w:val="21"/>
              </w:rPr>
            </w:pPr>
            <w:r>
              <w:rPr>
                <w:rFonts w:ascii="宋体" w:hAnsi="宋体" w:cs="Arial" w:hint="eastAsia"/>
                <w:bCs/>
                <w:snapToGrid w:val="0"/>
                <w:color w:val="000000"/>
                <w:sz w:val="15"/>
              </w:rPr>
              <w:t>2</w:t>
            </w:r>
            <w:r>
              <w:rPr>
                <w:rFonts w:ascii="宋体" w:hAnsi="宋体" w:cs="Arial"/>
                <w:bCs/>
                <w:snapToGrid w:val="0"/>
                <w:color w:val="000000"/>
                <w:sz w:val="15"/>
              </w:rPr>
              <w:t>1</w:t>
            </w:r>
            <w:r>
              <w:rPr>
                <w:rFonts w:ascii="宋体" w:hAnsi="宋体" w:cs="Arial" w:hint="eastAsia"/>
                <w:bCs/>
                <w:snapToGrid w:val="0"/>
                <w:color w:val="000000"/>
                <w:sz w:val="15"/>
              </w:rPr>
              <w:t xml:space="preserve">、 </w:t>
            </w:r>
            <w:r>
              <w:rPr>
                <w:rFonts w:ascii="宋体" w:hAnsi="宋体" w:cs="Arial"/>
                <w:bCs/>
                <w:snapToGrid w:val="0"/>
                <w:color w:val="000000"/>
                <w:sz w:val="15"/>
              </w:rPr>
              <w:t>昏迷</w:t>
            </w:r>
            <w:r>
              <w:rPr>
                <w:rFonts w:ascii="宋体" w:hAnsi="宋体" w:cs="Arial" w:hint="eastAsia"/>
                <w:bCs/>
                <w:snapToGrid w:val="0"/>
                <w:color w:val="000000"/>
                <w:sz w:val="15"/>
              </w:rPr>
              <w:t>7</w:t>
            </w:r>
            <w:r>
              <w:rPr>
                <w:rFonts w:ascii="宋体" w:hAnsi="宋体" w:cs="Arial"/>
                <w:bCs/>
                <w:snapToGrid w:val="0"/>
                <w:color w:val="000000"/>
                <w:sz w:val="15"/>
              </w:rPr>
              <w:t>2小时</w:t>
            </w:r>
          </w:p>
        </w:tc>
      </w:tr>
      <w:tr w:rsidR="008F265F" w14:paraId="1E7DDE76" w14:textId="77777777">
        <w:trPr>
          <w:jc w:val="center"/>
        </w:trPr>
        <w:tc>
          <w:tcPr>
            <w:tcW w:w="3114" w:type="dxa"/>
            <w:vAlign w:val="center"/>
          </w:tcPr>
          <w:p w14:paraId="769C6DF3" w14:textId="77777777" w:rsidR="008F265F" w:rsidRDefault="00A542E4">
            <w:pPr>
              <w:rPr>
                <w:rFonts w:ascii="宋体" w:hAnsi="宋体" w:cs="宋体"/>
                <w:kern w:val="0"/>
                <w:sz w:val="15"/>
                <w:szCs w:val="21"/>
              </w:rPr>
            </w:pPr>
            <w:r>
              <w:rPr>
                <w:rFonts w:ascii="宋体" w:hAnsi="宋体" w:cs="Arial"/>
                <w:bCs/>
                <w:snapToGrid w:val="0"/>
                <w:color w:val="000000"/>
                <w:sz w:val="15"/>
              </w:rPr>
              <w:t>2</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中度脊髓灰质炎</w:t>
            </w:r>
          </w:p>
        </w:tc>
        <w:tc>
          <w:tcPr>
            <w:tcW w:w="2977" w:type="dxa"/>
            <w:vAlign w:val="center"/>
          </w:tcPr>
          <w:p w14:paraId="6A32FA90" w14:textId="77777777" w:rsidR="008F265F" w:rsidRDefault="00A542E4">
            <w:pPr>
              <w:rPr>
                <w:rFonts w:ascii="宋体" w:hAnsi="宋体" w:cs="宋体"/>
                <w:kern w:val="0"/>
                <w:sz w:val="15"/>
                <w:szCs w:val="21"/>
              </w:rPr>
            </w:pPr>
            <w:r>
              <w:rPr>
                <w:rFonts w:ascii="宋体" w:hAnsi="宋体" w:cs="Arial"/>
                <w:bCs/>
                <w:snapToGrid w:val="0"/>
                <w:color w:val="000000"/>
                <w:sz w:val="15"/>
              </w:rPr>
              <w:t>12</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中度肌营养不良症</w:t>
            </w:r>
          </w:p>
        </w:tc>
        <w:tc>
          <w:tcPr>
            <w:tcW w:w="2971" w:type="dxa"/>
            <w:vAlign w:val="center"/>
          </w:tcPr>
          <w:p w14:paraId="40C346BF" w14:textId="77777777" w:rsidR="008F265F" w:rsidRDefault="00A542E4">
            <w:pPr>
              <w:rPr>
                <w:rFonts w:ascii="宋体" w:hAnsi="宋体" w:cs="宋体"/>
                <w:kern w:val="0"/>
                <w:sz w:val="15"/>
                <w:szCs w:val="21"/>
              </w:rPr>
            </w:pPr>
            <w:r>
              <w:rPr>
                <w:rFonts w:ascii="宋体" w:hAnsi="宋体" w:cs="Arial" w:hint="eastAsia"/>
                <w:bCs/>
                <w:snapToGrid w:val="0"/>
                <w:color w:val="000000"/>
                <w:sz w:val="15"/>
              </w:rPr>
              <w:t>2</w:t>
            </w:r>
            <w:r>
              <w:rPr>
                <w:rFonts w:ascii="宋体" w:hAnsi="宋体" w:cs="Arial"/>
                <w:bCs/>
                <w:snapToGrid w:val="0"/>
                <w:color w:val="000000"/>
                <w:sz w:val="15"/>
              </w:rPr>
              <w:t>2</w:t>
            </w:r>
            <w:r>
              <w:rPr>
                <w:rFonts w:ascii="宋体" w:hAnsi="宋体" w:cs="Arial" w:hint="eastAsia"/>
                <w:bCs/>
                <w:snapToGrid w:val="0"/>
                <w:color w:val="000000"/>
                <w:sz w:val="15"/>
              </w:rPr>
              <w:t>、 中度克罗恩病</w:t>
            </w:r>
          </w:p>
        </w:tc>
      </w:tr>
      <w:tr w:rsidR="008F265F" w14:paraId="19E3FCF4" w14:textId="77777777">
        <w:trPr>
          <w:jc w:val="center"/>
        </w:trPr>
        <w:tc>
          <w:tcPr>
            <w:tcW w:w="3114" w:type="dxa"/>
            <w:vAlign w:val="center"/>
          </w:tcPr>
          <w:p w14:paraId="5DCC1CDF" w14:textId="77777777" w:rsidR="008F265F" w:rsidRDefault="00A542E4">
            <w:pPr>
              <w:rPr>
                <w:rFonts w:ascii="宋体" w:hAnsi="宋体" w:cs="宋体"/>
                <w:kern w:val="0"/>
                <w:sz w:val="15"/>
                <w:szCs w:val="21"/>
              </w:rPr>
            </w:pPr>
            <w:r>
              <w:rPr>
                <w:rFonts w:ascii="宋体" w:hAnsi="宋体" w:cs="Arial"/>
                <w:bCs/>
                <w:snapToGrid w:val="0"/>
                <w:color w:val="000000"/>
                <w:sz w:val="15"/>
              </w:rPr>
              <w:t>3</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严重甲型及乙型血友病</w:t>
            </w:r>
          </w:p>
        </w:tc>
        <w:tc>
          <w:tcPr>
            <w:tcW w:w="2977" w:type="dxa"/>
            <w:vAlign w:val="center"/>
          </w:tcPr>
          <w:p w14:paraId="7A7C8634" w14:textId="77777777" w:rsidR="008F265F" w:rsidRDefault="00A542E4">
            <w:pPr>
              <w:rPr>
                <w:rFonts w:ascii="宋体" w:hAnsi="宋体" w:cs="宋体"/>
                <w:kern w:val="0"/>
                <w:sz w:val="15"/>
                <w:szCs w:val="21"/>
              </w:rPr>
            </w:pPr>
            <w:r>
              <w:rPr>
                <w:rFonts w:ascii="宋体" w:hAnsi="宋体" w:cs="Arial"/>
                <w:bCs/>
                <w:snapToGrid w:val="0"/>
                <w:color w:val="000000"/>
                <w:sz w:val="15"/>
              </w:rPr>
              <w:t>13</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中度克雅氏症</w:t>
            </w:r>
          </w:p>
        </w:tc>
        <w:tc>
          <w:tcPr>
            <w:tcW w:w="2971" w:type="dxa"/>
            <w:vAlign w:val="center"/>
          </w:tcPr>
          <w:p w14:paraId="16356803" w14:textId="77777777" w:rsidR="008F265F" w:rsidRDefault="00A542E4">
            <w:pPr>
              <w:rPr>
                <w:rFonts w:ascii="宋体" w:hAnsi="宋体" w:cs="Arial"/>
                <w:bCs/>
                <w:snapToGrid w:val="0"/>
                <w:color w:val="000000"/>
                <w:sz w:val="15"/>
              </w:rPr>
            </w:pPr>
            <w:r>
              <w:rPr>
                <w:rFonts w:ascii="宋体" w:hAnsi="宋体" w:cs="Arial"/>
                <w:bCs/>
                <w:snapToGrid w:val="0"/>
                <w:color w:val="000000"/>
                <w:sz w:val="15"/>
              </w:rPr>
              <w:t>23、</w:t>
            </w:r>
            <w:r>
              <w:rPr>
                <w:rFonts w:ascii="宋体" w:hAnsi="宋体" w:cs="Arial" w:hint="eastAsia"/>
                <w:bCs/>
                <w:snapToGrid w:val="0"/>
                <w:color w:val="000000"/>
                <w:sz w:val="15"/>
              </w:rPr>
              <w:t xml:space="preserve"> 中度慢性呼吸功能衰竭</w:t>
            </w:r>
          </w:p>
        </w:tc>
      </w:tr>
      <w:tr w:rsidR="008F265F" w14:paraId="23A7F0ED" w14:textId="77777777">
        <w:trPr>
          <w:jc w:val="center"/>
        </w:trPr>
        <w:tc>
          <w:tcPr>
            <w:tcW w:w="3114" w:type="dxa"/>
            <w:vAlign w:val="center"/>
          </w:tcPr>
          <w:p w14:paraId="5A6BE984" w14:textId="77777777" w:rsidR="008F265F" w:rsidRDefault="00A542E4">
            <w:pPr>
              <w:rPr>
                <w:rFonts w:ascii="宋体" w:hAnsi="宋体" w:cs="宋体"/>
                <w:kern w:val="0"/>
                <w:sz w:val="15"/>
                <w:szCs w:val="21"/>
              </w:rPr>
            </w:pPr>
            <w:r>
              <w:rPr>
                <w:rFonts w:ascii="宋体" w:hAnsi="宋体" w:cs="Arial"/>
                <w:bCs/>
                <w:snapToGrid w:val="0"/>
                <w:color w:val="000000"/>
                <w:sz w:val="15"/>
              </w:rPr>
              <w:t>4</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单侧肺脏切除</w:t>
            </w:r>
          </w:p>
        </w:tc>
        <w:tc>
          <w:tcPr>
            <w:tcW w:w="2977" w:type="dxa"/>
            <w:vAlign w:val="center"/>
          </w:tcPr>
          <w:p w14:paraId="78EA54BA" w14:textId="77777777" w:rsidR="008F265F" w:rsidRDefault="00A542E4">
            <w:pPr>
              <w:rPr>
                <w:rFonts w:ascii="宋体" w:hAnsi="宋体" w:cs="宋体"/>
                <w:kern w:val="0"/>
                <w:sz w:val="15"/>
                <w:szCs w:val="21"/>
              </w:rPr>
            </w:pPr>
            <w:r>
              <w:rPr>
                <w:rFonts w:ascii="宋体" w:hAnsi="宋体" w:cs="Arial"/>
                <w:bCs/>
                <w:snapToGrid w:val="0"/>
                <w:color w:val="000000"/>
                <w:sz w:val="15"/>
              </w:rPr>
              <w:t>14</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中度重症肌无力</w:t>
            </w:r>
          </w:p>
        </w:tc>
        <w:tc>
          <w:tcPr>
            <w:tcW w:w="2971" w:type="dxa"/>
            <w:vAlign w:val="center"/>
          </w:tcPr>
          <w:p w14:paraId="50C1535D" w14:textId="77777777" w:rsidR="008F265F" w:rsidRDefault="00A542E4">
            <w:pPr>
              <w:rPr>
                <w:rFonts w:ascii="宋体" w:hAnsi="宋体" w:cs="宋体"/>
                <w:kern w:val="0"/>
                <w:sz w:val="15"/>
                <w:szCs w:val="21"/>
              </w:rPr>
            </w:pPr>
            <w:r>
              <w:rPr>
                <w:rFonts w:ascii="宋体" w:hAnsi="宋体" w:cs="Arial"/>
                <w:bCs/>
                <w:snapToGrid w:val="0"/>
                <w:color w:val="000000"/>
                <w:sz w:val="15"/>
              </w:rPr>
              <w:t>24、</w:t>
            </w:r>
            <w:r>
              <w:rPr>
                <w:rFonts w:ascii="宋体" w:hAnsi="宋体" w:cs="Arial" w:hint="eastAsia"/>
                <w:bCs/>
                <w:snapToGrid w:val="0"/>
                <w:color w:val="000000"/>
                <w:sz w:val="15"/>
              </w:rPr>
              <w:t xml:space="preserve"> 一侧肾切除</w:t>
            </w:r>
          </w:p>
        </w:tc>
      </w:tr>
      <w:tr w:rsidR="008F265F" w14:paraId="4CC65EAB" w14:textId="77777777">
        <w:trPr>
          <w:jc w:val="center"/>
        </w:trPr>
        <w:tc>
          <w:tcPr>
            <w:tcW w:w="3114" w:type="dxa"/>
            <w:vAlign w:val="center"/>
          </w:tcPr>
          <w:p w14:paraId="7CD27B47" w14:textId="77777777" w:rsidR="008F265F" w:rsidRDefault="00A542E4">
            <w:pPr>
              <w:rPr>
                <w:rFonts w:ascii="宋体" w:hAnsi="宋体" w:cs="宋体"/>
                <w:kern w:val="0"/>
                <w:sz w:val="15"/>
                <w:szCs w:val="21"/>
              </w:rPr>
            </w:pPr>
            <w:r>
              <w:rPr>
                <w:rFonts w:ascii="宋体" w:hAnsi="宋体" w:cs="Arial"/>
                <w:bCs/>
                <w:snapToGrid w:val="0"/>
                <w:color w:val="000000"/>
                <w:sz w:val="15"/>
              </w:rPr>
              <w:t>5</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中度类风湿性关节炎</w:t>
            </w:r>
          </w:p>
        </w:tc>
        <w:tc>
          <w:tcPr>
            <w:tcW w:w="2977" w:type="dxa"/>
            <w:vAlign w:val="center"/>
          </w:tcPr>
          <w:p w14:paraId="31D04210" w14:textId="77777777" w:rsidR="008F265F" w:rsidRDefault="00A542E4">
            <w:pPr>
              <w:rPr>
                <w:rFonts w:ascii="宋体" w:hAnsi="宋体" w:cs="宋体"/>
                <w:kern w:val="0"/>
                <w:sz w:val="15"/>
                <w:szCs w:val="21"/>
              </w:rPr>
            </w:pPr>
            <w:r>
              <w:rPr>
                <w:rFonts w:ascii="宋体" w:hAnsi="宋体" w:cs="Arial"/>
                <w:bCs/>
                <w:snapToGrid w:val="0"/>
                <w:color w:val="000000"/>
                <w:sz w:val="15"/>
              </w:rPr>
              <w:t>15</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中度溃疡性结肠炎</w:t>
            </w:r>
          </w:p>
        </w:tc>
        <w:tc>
          <w:tcPr>
            <w:tcW w:w="2971" w:type="dxa"/>
            <w:vAlign w:val="center"/>
          </w:tcPr>
          <w:p w14:paraId="1D832F9D" w14:textId="77777777" w:rsidR="008F265F" w:rsidRDefault="00A542E4">
            <w:pPr>
              <w:rPr>
                <w:rFonts w:ascii="宋体" w:hAnsi="宋体" w:cs="宋体"/>
                <w:kern w:val="0"/>
                <w:sz w:val="15"/>
                <w:szCs w:val="21"/>
              </w:rPr>
            </w:pPr>
            <w:r>
              <w:rPr>
                <w:rFonts w:ascii="宋体" w:hAnsi="宋体" w:cs="Arial"/>
                <w:bCs/>
                <w:snapToGrid w:val="0"/>
                <w:color w:val="000000"/>
                <w:sz w:val="15"/>
              </w:rPr>
              <w:t>25、</w:t>
            </w:r>
            <w:r>
              <w:rPr>
                <w:rFonts w:ascii="宋体" w:hAnsi="宋体" w:cs="Arial" w:hint="eastAsia"/>
                <w:bCs/>
                <w:snapToGrid w:val="0"/>
                <w:color w:val="000000"/>
                <w:sz w:val="15"/>
              </w:rPr>
              <w:t xml:space="preserve"> 慢性肾衰竭</w:t>
            </w:r>
          </w:p>
        </w:tc>
      </w:tr>
      <w:tr w:rsidR="008F265F" w14:paraId="3F2FB2E4" w14:textId="77777777">
        <w:trPr>
          <w:jc w:val="center"/>
        </w:trPr>
        <w:tc>
          <w:tcPr>
            <w:tcW w:w="3114" w:type="dxa"/>
            <w:vAlign w:val="center"/>
          </w:tcPr>
          <w:p w14:paraId="712AAEA5" w14:textId="77777777" w:rsidR="008F265F" w:rsidRDefault="00A542E4">
            <w:pPr>
              <w:rPr>
                <w:rFonts w:ascii="宋体" w:hAnsi="宋体" w:cs="宋体"/>
                <w:kern w:val="0"/>
                <w:sz w:val="15"/>
                <w:szCs w:val="21"/>
              </w:rPr>
            </w:pPr>
            <w:r>
              <w:rPr>
                <w:rFonts w:ascii="宋体" w:hAnsi="宋体" w:cs="Arial"/>
                <w:bCs/>
                <w:snapToGrid w:val="0"/>
                <w:color w:val="000000"/>
                <w:sz w:val="15"/>
              </w:rPr>
              <w:t>6</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中度小肠损害并发症</w:t>
            </w:r>
          </w:p>
        </w:tc>
        <w:tc>
          <w:tcPr>
            <w:tcW w:w="2977" w:type="dxa"/>
            <w:vAlign w:val="center"/>
          </w:tcPr>
          <w:p w14:paraId="0D7AD8B2" w14:textId="77777777" w:rsidR="008F265F" w:rsidRDefault="00A542E4">
            <w:pPr>
              <w:rPr>
                <w:rFonts w:ascii="宋体" w:hAnsi="宋体" w:cs="宋体"/>
                <w:kern w:val="0"/>
                <w:sz w:val="15"/>
                <w:szCs w:val="21"/>
              </w:rPr>
            </w:pPr>
            <w:r>
              <w:rPr>
                <w:rFonts w:ascii="宋体" w:hAnsi="宋体" w:cs="Arial"/>
                <w:bCs/>
                <w:snapToGrid w:val="0"/>
                <w:color w:val="000000"/>
                <w:sz w:val="15"/>
              </w:rPr>
              <w:t>16</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出血性登革热</w:t>
            </w:r>
          </w:p>
        </w:tc>
        <w:tc>
          <w:tcPr>
            <w:tcW w:w="2971" w:type="dxa"/>
            <w:vAlign w:val="center"/>
          </w:tcPr>
          <w:p w14:paraId="3CD7D5BE" w14:textId="77777777" w:rsidR="008F265F" w:rsidRDefault="00A542E4">
            <w:pPr>
              <w:rPr>
                <w:rFonts w:ascii="宋体" w:hAnsi="宋体" w:cs="宋体"/>
                <w:kern w:val="0"/>
                <w:sz w:val="15"/>
                <w:szCs w:val="21"/>
              </w:rPr>
            </w:pPr>
            <w:r>
              <w:rPr>
                <w:rFonts w:ascii="宋体" w:hAnsi="宋体" w:cs="Arial"/>
                <w:bCs/>
                <w:snapToGrid w:val="0"/>
                <w:color w:val="000000"/>
                <w:sz w:val="15"/>
              </w:rPr>
              <w:t>26、</w:t>
            </w:r>
            <w:r>
              <w:rPr>
                <w:rFonts w:ascii="宋体" w:hAnsi="宋体" w:cs="Arial" w:hint="eastAsia"/>
                <w:bCs/>
                <w:snapToGrid w:val="0"/>
                <w:color w:val="000000"/>
                <w:sz w:val="15"/>
              </w:rPr>
              <w:t xml:space="preserve"> 中度强直性脊柱炎</w:t>
            </w:r>
          </w:p>
        </w:tc>
      </w:tr>
      <w:tr w:rsidR="008F265F" w14:paraId="33992154" w14:textId="77777777">
        <w:trPr>
          <w:jc w:val="center"/>
        </w:trPr>
        <w:tc>
          <w:tcPr>
            <w:tcW w:w="3114" w:type="dxa"/>
            <w:vAlign w:val="center"/>
          </w:tcPr>
          <w:p w14:paraId="23EE98A4" w14:textId="77777777" w:rsidR="008F265F" w:rsidRDefault="00A542E4">
            <w:pPr>
              <w:rPr>
                <w:rFonts w:ascii="宋体" w:hAnsi="宋体" w:cs="宋体"/>
                <w:kern w:val="0"/>
                <w:sz w:val="15"/>
                <w:szCs w:val="21"/>
              </w:rPr>
            </w:pPr>
            <w:r>
              <w:rPr>
                <w:rFonts w:ascii="宋体" w:hAnsi="宋体" w:cs="Arial"/>
                <w:bCs/>
                <w:snapToGrid w:val="0"/>
                <w:color w:val="000000"/>
                <w:sz w:val="15"/>
              </w:rPr>
              <w:t>7</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中度阿尔茨海默病</w:t>
            </w:r>
          </w:p>
        </w:tc>
        <w:tc>
          <w:tcPr>
            <w:tcW w:w="2977" w:type="dxa"/>
            <w:vAlign w:val="center"/>
          </w:tcPr>
          <w:p w14:paraId="13628DD1" w14:textId="77777777" w:rsidR="008F265F" w:rsidRDefault="00A542E4">
            <w:pPr>
              <w:rPr>
                <w:rFonts w:ascii="宋体" w:hAnsi="宋体" w:cs="宋体"/>
                <w:kern w:val="0"/>
                <w:sz w:val="15"/>
                <w:szCs w:val="21"/>
              </w:rPr>
            </w:pPr>
            <w:r>
              <w:rPr>
                <w:rFonts w:ascii="宋体" w:hAnsi="宋体" w:cs="Arial"/>
                <w:bCs/>
                <w:snapToGrid w:val="0"/>
                <w:color w:val="000000"/>
                <w:sz w:val="15"/>
              </w:rPr>
              <w:t>17</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特定周围动脉疾病的血管介入治疗</w:t>
            </w:r>
          </w:p>
        </w:tc>
        <w:tc>
          <w:tcPr>
            <w:tcW w:w="2971" w:type="dxa"/>
            <w:vAlign w:val="center"/>
          </w:tcPr>
          <w:p w14:paraId="46E75448" w14:textId="77777777" w:rsidR="008F265F" w:rsidRDefault="00A542E4">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7、</w:t>
            </w:r>
            <w:r>
              <w:rPr>
                <w:rFonts w:ascii="宋体" w:hAnsi="宋体" w:cs="宋体" w:hint="eastAsia"/>
                <w:kern w:val="0"/>
                <w:sz w:val="15"/>
                <w:szCs w:val="21"/>
              </w:rPr>
              <w:t xml:space="preserve"> 中度全身Ⅲ度烧伤</w:t>
            </w:r>
          </w:p>
        </w:tc>
      </w:tr>
      <w:tr w:rsidR="008F265F" w14:paraId="78EAAF0A" w14:textId="77777777">
        <w:trPr>
          <w:jc w:val="center"/>
        </w:trPr>
        <w:tc>
          <w:tcPr>
            <w:tcW w:w="3114" w:type="dxa"/>
            <w:vAlign w:val="center"/>
          </w:tcPr>
          <w:p w14:paraId="14A05ED2" w14:textId="77777777" w:rsidR="008F265F" w:rsidRDefault="00A542E4">
            <w:pPr>
              <w:rPr>
                <w:rFonts w:ascii="宋体" w:hAnsi="宋体" w:cs="Arial"/>
                <w:bCs/>
                <w:snapToGrid w:val="0"/>
                <w:color w:val="000000"/>
                <w:sz w:val="15"/>
              </w:rPr>
            </w:pPr>
            <w:r>
              <w:rPr>
                <w:rFonts w:ascii="宋体" w:hAnsi="宋体" w:cs="Arial"/>
                <w:bCs/>
                <w:snapToGrid w:val="0"/>
                <w:color w:val="000000"/>
                <w:sz w:val="15"/>
              </w:rPr>
              <w:t>8</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中度原发性帕金森病</w:t>
            </w:r>
          </w:p>
        </w:tc>
        <w:tc>
          <w:tcPr>
            <w:tcW w:w="2977" w:type="dxa"/>
            <w:vAlign w:val="center"/>
          </w:tcPr>
          <w:p w14:paraId="676266D1" w14:textId="77777777" w:rsidR="008F265F" w:rsidRDefault="00A542E4">
            <w:pPr>
              <w:rPr>
                <w:rFonts w:ascii="宋体" w:hAnsi="宋体" w:cs="Arial"/>
                <w:bCs/>
                <w:snapToGrid w:val="0"/>
                <w:color w:val="000000"/>
                <w:sz w:val="15"/>
              </w:rPr>
            </w:pPr>
            <w:r>
              <w:rPr>
                <w:rFonts w:ascii="宋体" w:hAnsi="宋体" w:cs="Arial"/>
                <w:bCs/>
                <w:snapToGrid w:val="0"/>
                <w:color w:val="000000"/>
                <w:sz w:val="15"/>
              </w:rPr>
              <w:t>18</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于颈动脉进行血管成形术或内膜切除术</w:t>
            </w:r>
          </w:p>
        </w:tc>
        <w:tc>
          <w:tcPr>
            <w:tcW w:w="2971" w:type="dxa"/>
            <w:vAlign w:val="center"/>
          </w:tcPr>
          <w:p w14:paraId="450F5989" w14:textId="77777777" w:rsidR="008F265F" w:rsidRDefault="00A542E4">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8、</w:t>
            </w:r>
            <w:r>
              <w:rPr>
                <w:rFonts w:ascii="宋体" w:hAnsi="宋体" w:cs="宋体" w:hint="eastAsia"/>
                <w:kern w:val="0"/>
                <w:sz w:val="15"/>
                <w:szCs w:val="21"/>
              </w:rPr>
              <w:t xml:space="preserve"> 中度面部烧伤</w:t>
            </w:r>
          </w:p>
        </w:tc>
      </w:tr>
      <w:tr w:rsidR="008F265F" w14:paraId="59BD99AE" w14:textId="77777777">
        <w:trPr>
          <w:jc w:val="center"/>
        </w:trPr>
        <w:tc>
          <w:tcPr>
            <w:tcW w:w="3114" w:type="dxa"/>
            <w:vAlign w:val="center"/>
          </w:tcPr>
          <w:p w14:paraId="5E49FD67" w14:textId="77777777" w:rsidR="008F265F" w:rsidRDefault="00A542E4">
            <w:pPr>
              <w:rPr>
                <w:rFonts w:ascii="宋体" w:hAnsi="宋体" w:cs="Arial"/>
                <w:bCs/>
                <w:snapToGrid w:val="0"/>
                <w:color w:val="000000"/>
                <w:sz w:val="15"/>
              </w:rPr>
            </w:pPr>
            <w:r>
              <w:rPr>
                <w:rFonts w:ascii="宋体" w:hAnsi="宋体" w:cs="Arial"/>
                <w:bCs/>
                <w:snapToGrid w:val="0"/>
                <w:color w:val="000000"/>
                <w:sz w:val="15"/>
              </w:rPr>
              <w:t>9</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中度脑损伤</w:t>
            </w:r>
          </w:p>
        </w:tc>
        <w:tc>
          <w:tcPr>
            <w:tcW w:w="2977" w:type="dxa"/>
            <w:vAlign w:val="center"/>
          </w:tcPr>
          <w:p w14:paraId="578B527A" w14:textId="77777777" w:rsidR="008F265F" w:rsidRDefault="00A542E4">
            <w:pPr>
              <w:rPr>
                <w:rFonts w:ascii="宋体" w:hAnsi="宋体" w:cs="Arial"/>
                <w:bCs/>
                <w:snapToGrid w:val="0"/>
                <w:color w:val="000000"/>
                <w:sz w:val="15"/>
              </w:rPr>
            </w:pPr>
            <w:r>
              <w:rPr>
                <w:rFonts w:ascii="宋体" w:hAnsi="宋体" w:cs="Arial"/>
                <w:bCs/>
                <w:snapToGrid w:val="0"/>
                <w:color w:val="000000"/>
                <w:sz w:val="15"/>
              </w:rPr>
              <w:t>19</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单个肢体缺失</w:t>
            </w:r>
          </w:p>
        </w:tc>
        <w:tc>
          <w:tcPr>
            <w:tcW w:w="2971" w:type="dxa"/>
            <w:vAlign w:val="center"/>
          </w:tcPr>
          <w:p w14:paraId="16E7E80B" w14:textId="77777777" w:rsidR="008F265F" w:rsidRDefault="00A542E4">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9、</w:t>
            </w:r>
            <w:r>
              <w:rPr>
                <w:rFonts w:ascii="宋体" w:hAnsi="宋体" w:cs="宋体" w:hint="eastAsia"/>
                <w:kern w:val="0"/>
                <w:sz w:val="15"/>
                <w:szCs w:val="21"/>
              </w:rPr>
              <w:t xml:space="preserve"> 中度脊髓小脑共济失调/脊髓小脑变性症</w:t>
            </w:r>
          </w:p>
        </w:tc>
      </w:tr>
      <w:tr w:rsidR="008F265F" w14:paraId="4265531C" w14:textId="77777777">
        <w:trPr>
          <w:jc w:val="center"/>
        </w:trPr>
        <w:tc>
          <w:tcPr>
            <w:tcW w:w="3114" w:type="dxa"/>
            <w:vAlign w:val="center"/>
          </w:tcPr>
          <w:p w14:paraId="59BD7E14" w14:textId="77777777" w:rsidR="008F265F" w:rsidRDefault="00A542E4">
            <w:pPr>
              <w:rPr>
                <w:rFonts w:ascii="宋体" w:hAnsi="宋体" w:cs="Arial"/>
                <w:bCs/>
                <w:snapToGrid w:val="0"/>
                <w:color w:val="000000"/>
                <w:sz w:val="15"/>
              </w:rPr>
            </w:pPr>
            <w:r>
              <w:rPr>
                <w:rFonts w:ascii="宋体" w:hAnsi="宋体" w:cs="Arial"/>
                <w:bCs/>
                <w:snapToGrid w:val="0"/>
                <w:color w:val="000000"/>
                <w:sz w:val="15"/>
              </w:rPr>
              <w:t>10</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中度运动神经元病</w:t>
            </w:r>
          </w:p>
        </w:tc>
        <w:tc>
          <w:tcPr>
            <w:tcW w:w="2977" w:type="dxa"/>
            <w:vAlign w:val="center"/>
          </w:tcPr>
          <w:p w14:paraId="559AA53F" w14:textId="77777777" w:rsidR="008F265F" w:rsidRDefault="00A542E4">
            <w:pPr>
              <w:rPr>
                <w:rFonts w:ascii="宋体" w:hAnsi="宋体" w:cs="Arial"/>
                <w:bCs/>
                <w:snapToGrid w:val="0"/>
                <w:color w:val="000000"/>
                <w:sz w:val="15"/>
              </w:rPr>
            </w:pPr>
            <w:r>
              <w:rPr>
                <w:rFonts w:ascii="宋体" w:hAnsi="宋体" w:cs="Arial"/>
                <w:bCs/>
                <w:snapToGrid w:val="0"/>
                <w:color w:val="000000"/>
                <w:sz w:val="15"/>
              </w:rPr>
              <w:t>20</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中度脑炎后遗症或中度脑膜炎后遗症</w:t>
            </w:r>
          </w:p>
        </w:tc>
        <w:tc>
          <w:tcPr>
            <w:tcW w:w="2971" w:type="dxa"/>
            <w:vAlign w:val="center"/>
          </w:tcPr>
          <w:p w14:paraId="28C255E1" w14:textId="77777777" w:rsidR="008F265F" w:rsidRDefault="00A542E4">
            <w:pPr>
              <w:rPr>
                <w:rFonts w:ascii="宋体" w:hAnsi="宋体" w:cs="宋体"/>
                <w:kern w:val="0"/>
                <w:sz w:val="15"/>
                <w:szCs w:val="21"/>
              </w:rPr>
            </w:pPr>
            <w:r>
              <w:rPr>
                <w:rFonts w:ascii="宋体" w:hAnsi="宋体" w:cs="宋体" w:hint="eastAsia"/>
                <w:kern w:val="0"/>
                <w:sz w:val="15"/>
                <w:szCs w:val="21"/>
              </w:rPr>
              <w:t>3</w:t>
            </w:r>
            <w:r>
              <w:rPr>
                <w:rFonts w:ascii="宋体" w:hAnsi="宋体" w:cs="宋体"/>
                <w:kern w:val="0"/>
                <w:sz w:val="15"/>
                <w:szCs w:val="21"/>
              </w:rPr>
              <w:t>0、</w:t>
            </w:r>
            <w:r>
              <w:rPr>
                <w:rFonts w:ascii="宋体" w:hAnsi="宋体" w:cs="宋体" w:hint="eastAsia"/>
                <w:kern w:val="0"/>
                <w:sz w:val="15"/>
                <w:szCs w:val="21"/>
              </w:rPr>
              <w:t xml:space="preserve"> 中度多发性硬化</w:t>
            </w:r>
          </w:p>
        </w:tc>
      </w:tr>
      <w:tr w:rsidR="008F265F" w14:paraId="51F90CFF" w14:textId="77777777">
        <w:trPr>
          <w:jc w:val="center"/>
        </w:trPr>
        <w:tc>
          <w:tcPr>
            <w:tcW w:w="9062" w:type="dxa"/>
            <w:gridSpan w:val="3"/>
            <w:vAlign w:val="center"/>
          </w:tcPr>
          <w:p w14:paraId="44321FC1" w14:textId="77777777" w:rsidR="008F265F" w:rsidRDefault="00A542E4">
            <w:pPr>
              <w:jc w:val="center"/>
              <w:rPr>
                <w:rFonts w:ascii="宋体" w:hAnsi="宋体" w:cs="宋体"/>
                <w:kern w:val="0"/>
                <w:sz w:val="15"/>
                <w:szCs w:val="21"/>
              </w:rPr>
            </w:pPr>
            <w:r>
              <w:rPr>
                <w:rFonts w:ascii="宋体" w:hAnsi="宋体" w:cs="宋体"/>
                <w:b/>
                <w:kern w:val="0"/>
                <w:szCs w:val="21"/>
              </w:rPr>
              <w:t>重大疾病</w:t>
            </w:r>
          </w:p>
        </w:tc>
      </w:tr>
      <w:tr w:rsidR="008F265F" w14:paraId="1DAC37D4" w14:textId="77777777">
        <w:trPr>
          <w:jc w:val="center"/>
        </w:trPr>
        <w:tc>
          <w:tcPr>
            <w:tcW w:w="3114" w:type="dxa"/>
            <w:vAlign w:val="center"/>
          </w:tcPr>
          <w:p w14:paraId="5A748354" w14:textId="77777777" w:rsidR="008F265F" w:rsidRDefault="00A542E4">
            <w:pPr>
              <w:rPr>
                <w:rFonts w:ascii="宋体" w:hAnsi="宋体" w:cs="宋体"/>
                <w:kern w:val="0"/>
                <w:sz w:val="15"/>
                <w:szCs w:val="21"/>
              </w:rPr>
            </w:pPr>
            <w:r>
              <w:rPr>
                <w:rFonts w:ascii="宋体" w:hAnsi="宋体" w:cs="宋体"/>
                <w:kern w:val="0"/>
                <w:sz w:val="15"/>
                <w:szCs w:val="21"/>
              </w:rPr>
              <w:t xml:space="preserve">1、 </w:t>
            </w:r>
            <w:r>
              <w:rPr>
                <w:rFonts w:ascii="宋体" w:hAnsi="宋体" w:cs="宋体" w:hint="eastAsia"/>
                <w:kern w:val="0"/>
                <w:sz w:val="15"/>
                <w:szCs w:val="21"/>
              </w:rPr>
              <w:t>恶性肿瘤——重度</w:t>
            </w:r>
          </w:p>
        </w:tc>
        <w:tc>
          <w:tcPr>
            <w:tcW w:w="2977" w:type="dxa"/>
            <w:vAlign w:val="center"/>
          </w:tcPr>
          <w:p w14:paraId="42DF0E8C" w14:textId="77777777" w:rsidR="008F265F" w:rsidRDefault="00A542E4">
            <w:pPr>
              <w:rPr>
                <w:rFonts w:ascii="宋体" w:hAnsi="宋体" w:cs="宋体"/>
                <w:kern w:val="0"/>
                <w:sz w:val="15"/>
                <w:szCs w:val="21"/>
              </w:rPr>
            </w:pPr>
            <w:r>
              <w:rPr>
                <w:rFonts w:ascii="宋体" w:hAnsi="宋体"/>
                <w:color w:val="000000"/>
                <w:sz w:val="15"/>
                <w:szCs w:val="21"/>
              </w:rPr>
              <w:t>47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植物人状态</w:t>
            </w:r>
          </w:p>
        </w:tc>
        <w:tc>
          <w:tcPr>
            <w:tcW w:w="2971" w:type="dxa"/>
            <w:vAlign w:val="center"/>
          </w:tcPr>
          <w:p w14:paraId="023DF352" w14:textId="77777777" w:rsidR="008F265F" w:rsidRDefault="00A542E4">
            <w:pPr>
              <w:rPr>
                <w:rFonts w:ascii="宋体" w:hAnsi="宋体" w:cs="宋体"/>
                <w:kern w:val="0"/>
                <w:sz w:val="15"/>
                <w:szCs w:val="21"/>
              </w:rPr>
            </w:pPr>
            <w:r>
              <w:rPr>
                <w:rFonts w:ascii="宋体" w:hAnsi="宋体" w:cs="宋体"/>
                <w:kern w:val="0"/>
                <w:sz w:val="15"/>
                <w:szCs w:val="21"/>
              </w:rPr>
              <w:t>93</w:t>
            </w:r>
            <w:r>
              <w:rPr>
                <w:rFonts w:ascii="宋体" w:hAnsi="宋体" w:cs="宋体" w:hint="eastAsia"/>
                <w:kern w:val="0"/>
                <w:sz w:val="15"/>
                <w:szCs w:val="21"/>
              </w:rPr>
              <w:t>、</w:t>
            </w:r>
            <w:r>
              <w:rPr>
                <w:rFonts w:ascii="宋体" w:hAnsi="宋体" w:cs="宋体"/>
                <w:kern w:val="0"/>
                <w:sz w:val="15"/>
                <w:szCs w:val="21"/>
              </w:rPr>
              <w:t xml:space="preserve"> 严</w:t>
            </w:r>
            <w:r>
              <w:rPr>
                <w:rFonts w:ascii="宋体" w:hAnsi="宋体" w:cs="宋体" w:hint="eastAsia"/>
                <w:kern w:val="0"/>
                <w:sz w:val="15"/>
                <w:szCs w:val="21"/>
              </w:rPr>
              <w:t>重幼年型类风湿性关节炎</w:t>
            </w:r>
          </w:p>
        </w:tc>
      </w:tr>
      <w:tr w:rsidR="008F265F" w14:paraId="261A7B23" w14:textId="77777777">
        <w:trPr>
          <w:jc w:val="center"/>
        </w:trPr>
        <w:tc>
          <w:tcPr>
            <w:tcW w:w="3114" w:type="dxa"/>
            <w:vAlign w:val="center"/>
          </w:tcPr>
          <w:p w14:paraId="72E68BD8" w14:textId="77777777" w:rsidR="008F265F" w:rsidRDefault="00A542E4">
            <w:pPr>
              <w:rPr>
                <w:rFonts w:ascii="宋体" w:hAnsi="宋体" w:cs="宋体"/>
                <w:kern w:val="0"/>
                <w:sz w:val="15"/>
                <w:szCs w:val="21"/>
              </w:rPr>
            </w:pPr>
            <w:r>
              <w:rPr>
                <w:rFonts w:ascii="宋体" w:hAnsi="宋体" w:cs="宋体"/>
                <w:kern w:val="0"/>
                <w:sz w:val="15"/>
                <w:szCs w:val="21"/>
              </w:rPr>
              <w:t xml:space="preserve">2、 </w:t>
            </w:r>
            <w:r>
              <w:rPr>
                <w:rFonts w:ascii="宋体" w:hAnsi="宋体" w:cs="宋体" w:hint="eastAsia"/>
                <w:kern w:val="0"/>
                <w:sz w:val="15"/>
                <w:szCs w:val="21"/>
              </w:rPr>
              <w:t>较重急性心肌梗死</w:t>
            </w:r>
          </w:p>
        </w:tc>
        <w:tc>
          <w:tcPr>
            <w:tcW w:w="2977" w:type="dxa"/>
            <w:vAlign w:val="center"/>
          </w:tcPr>
          <w:p w14:paraId="118FC76C" w14:textId="77777777" w:rsidR="008F265F" w:rsidRDefault="00A542E4">
            <w:pPr>
              <w:rPr>
                <w:rFonts w:ascii="宋体" w:hAnsi="宋体" w:cs="宋体"/>
                <w:kern w:val="0"/>
                <w:sz w:val="15"/>
                <w:szCs w:val="21"/>
              </w:rPr>
            </w:pPr>
            <w:r>
              <w:rPr>
                <w:rFonts w:ascii="宋体" w:hAnsi="宋体"/>
                <w:color w:val="000000"/>
                <w:sz w:val="15"/>
                <w:szCs w:val="21"/>
              </w:rPr>
              <w:t>48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亚历山大病</w:t>
            </w:r>
          </w:p>
        </w:tc>
        <w:tc>
          <w:tcPr>
            <w:tcW w:w="2971" w:type="dxa"/>
            <w:vAlign w:val="center"/>
          </w:tcPr>
          <w:p w14:paraId="53E227B7" w14:textId="77777777" w:rsidR="008F265F" w:rsidRDefault="00A542E4">
            <w:pPr>
              <w:rPr>
                <w:rFonts w:ascii="宋体" w:hAnsi="宋体" w:cs="宋体"/>
                <w:kern w:val="0"/>
                <w:sz w:val="15"/>
                <w:szCs w:val="21"/>
              </w:rPr>
            </w:pPr>
            <w:r>
              <w:rPr>
                <w:rFonts w:ascii="宋体" w:hAnsi="宋体" w:cs="宋体"/>
                <w:kern w:val="0"/>
                <w:sz w:val="15"/>
                <w:szCs w:val="21"/>
              </w:rPr>
              <w:t>94</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席汉氏综合征</w:t>
            </w:r>
          </w:p>
        </w:tc>
      </w:tr>
      <w:tr w:rsidR="008F265F" w14:paraId="471105FB" w14:textId="77777777">
        <w:trPr>
          <w:jc w:val="center"/>
        </w:trPr>
        <w:tc>
          <w:tcPr>
            <w:tcW w:w="3114" w:type="dxa"/>
            <w:vAlign w:val="center"/>
          </w:tcPr>
          <w:p w14:paraId="60F2B784" w14:textId="77777777" w:rsidR="008F265F" w:rsidRDefault="00A542E4">
            <w:pPr>
              <w:rPr>
                <w:rFonts w:ascii="宋体" w:hAnsi="宋体" w:cs="宋体"/>
                <w:kern w:val="0"/>
                <w:sz w:val="15"/>
                <w:szCs w:val="21"/>
              </w:rPr>
            </w:pPr>
            <w:r>
              <w:rPr>
                <w:rFonts w:ascii="宋体" w:hAnsi="宋体" w:cs="宋体"/>
                <w:kern w:val="0"/>
                <w:sz w:val="15"/>
                <w:szCs w:val="21"/>
              </w:rPr>
              <w:t xml:space="preserve">3、 </w:t>
            </w:r>
            <w:r>
              <w:rPr>
                <w:rFonts w:ascii="宋体" w:hAnsi="宋体" w:cs="宋体" w:hint="eastAsia"/>
                <w:kern w:val="0"/>
                <w:sz w:val="15"/>
                <w:szCs w:val="21"/>
              </w:rPr>
              <w:t>严重脑中风后遗症</w:t>
            </w:r>
          </w:p>
        </w:tc>
        <w:tc>
          <w:tcPr>
            <w:tcW w:w="2977" w:type="dxa"/>
            <w:vAlign w:val="center"/>
          </w:tcPr>
          <w:p w14:paraId="5A773FEF" w14:textId="77777777" w:rsidR="008F265F" w:rsidRDefault="00A542E4">
            <w:pPr>
              <w:rPr>
                <w:rFonts w:ascii="宋体" w:hAnsi="宋体" w:cs="宋体"/>
                <w:kern w:val="0"/>
                <w:sz w:val="15"/>
                <w:szCs w:val="21"/>
              </w:rPr>
            </w:pPr>
            <w:r>
              <w:rPr>
                <w:rFonts w:ascii="宋体" w:hAnsi="宋体"/>
                <w:color w:val="000000"/>
                <w:sz w:val="15"/>
                <w:szCs w:val="21"/>
              </w:rPr>
              <w:t>49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非阿尔茨海默病所致严重痴呆</w:t>
            </w:r>
          </w:p>
        </w:tc>
        <w:tc>
          <w:tcPr>
            <w:tcW w:w="2971" w:type="dxa"/>
            <w:vAlign w:val="center"/>
          </w:tcPr>
          <w:p w14:paraId="2BDC8CC4" w14:textId="77777777" w:rsidR="008F265F" w:rsidRDefault="00A542E4">
            <w:pPr>
              <w:rPr>
                <w:rFonts w:ascii="宋体" w:hAnsi="宋体" w:cs="宋体"/>
                <w:kern w:val="0"/>
                <w:sz w:val="15"/>
                <w:szCs w:val="21"/>
              </w:rPr>
            </w:pPr>
            <w:r>
              <w:rPr>
                <w:rFonts w:ascii="宋体" w:hAnsi="宋体" w:cs="宋体"/>
                <w:kern w:val="0"/>
                <w:sz w:val="15"/>
                <w:szCs w:val="21"/>
              </w:rPr>
              <w:t>95</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脊柱裂</w:t>
            </w:r>
          </w:p>
        </w:tc>
      </w:tr>
      <w:tr w:rsidR="008F265F" w14:paraId="7F54D082" w14:textId="77777777">
        <w:trPr>
          <w:jc w:val="center"/>
        </w:trPr>
        <w:tc>
          <w:tcPr>
            <w:tcW w:w="3114" w:type="dxa"/>
            <w:vAlign w:val="center"/>
          </w:tcPr>
          <w:p w14:paraId="731F52A9" w14:textId="77777777" w:rsidR="008F265F" w:rsidRDefault="00A542E4">
            <w:pPr>
              <w:rPr>
                <w:rFonts w:ascii="宋体" w:hAnsi="宋体" w:cs="宋体"/>
                <w:kern w:val="0"/>
                <w:sz w:val="15"/>
                <w:szCs w:val="21"/>
              </w:rPr>
            </w:pPr>
            <w:r>
              <w:rPr>
                <w:rFonts w:ascii="宋体" w:hAnsi="宋体" w:cs="宋体"/>
                <w:kern w:val="0"/>
                <w:sz w:val="15"/>
                <w:szCs w:val="21"/>
              </w:rPr>
              <w:t xml:space="preserve">4、 </w:t>
            </w:r>
            <w:r>
              <w:rPr>
                <w:rFonts w:ascii="宋体" w:hAnsi="宋体" w:cs="宋体" w:hint="eastAsia"/>
                <w:kern w:val="0"/>
                <w:sz w:val="15"/>
                <w:szCs w:val="21"/>
              </w:rPr>
              <w:t>重大器官移植术或造血干细胞移植术</w:t>
            </w:r>
          </w:p>
        </w:tc>
        <w:tc>
          <w:tcPr>
            <w:tcW w:w="2977" w:type="dxa"/>
            <w:vAlign w:val="center"/>
          </w:tcPr>
          <w:p w14:paraId="13B30D7E" w14:textId="77777777" w:rsidR="008F265F" w:rsidRDefault="00A542E4">
            <w:pPr>
              <w:rPr>
                <w:rFonts w:ascii="宋体" w:hAnsi="宋体" w:cs="宋体"/>
                <w:kern w:val="0"/>
                <w:sz w:val="15"/>
                <w:szCs w:val="21"/>
              </w:rPr>
            </w:pPr>
            <w:r>
              <w:rPr>
                <w:rFonts w:ascii="宋体" w:hAnsi="宋体"/>
                <w:color w:val="000000"/>
                <w:sz w:val="15"/>
                <w:szCs w:val="21"/>
              </w:rPr>
              <w:t>50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严重冠状动脉粥样硬化性心脏病</w:t>
            </w:r>
          </w:p>
        </w:tc>
        <w:tc>
          <w:tcPr>
            <w:tcW w:w="2971" w:type="dxa"/>
            <w:vAlign w:val="center"/>
          </w:tcPr>
          <w:p w14:paraId="5719440F" w14:textId="77777777" w:rsidR="008F265F" w:rsidRDefault="00A542E4">
            <w:pPr>
              <w:rPr>
                <w:rFonts w:ascii="宋体" w:hAnsi="宋体" w:cs="宋体"/>
                <w:kern w:val="0"/>
                <w:sz w:val="15"/>
                <w:szCs w:val="21"/>
              </w:rPr>
            </w:pPr>
            <w:r>
              <w:rPr>
                <w:rFonts w:ascii="宋体" w:hAnsi="宋体" w:cs="宋体"/>
                <w:kern w:val="0"/>
                <w:sz w:val="15"/>
                <w:szCs w:val="21"/>
              </w:rPr>
              <w:t>96</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弥漫性血管内凝血</w:t>
            </w:r>
          </w:p>
        </w:tc>
      </w:tr>
      <w:tr w:rsidR="008F265F" w14:paraId="7CB624BD" w14:textId="77777777">
        <w:trPr>
          <w:jc w:val="center"/>
        </w:trPr>
        <w:tc>
          <w:tcPr>
            <w:tcW w:w="3114" w:type="dxa"/>
            <w:vAlign w:val="center"/>
          </w:tcPr>
          <w:p w14:paraId="73CFFBFE" w14:textId="77777777" w:rsidR="008F265F" w:rsidRDefault="00A542E4">
            <w:pPr>
              <w:rPr>
                <w:rFonts w:ascii="宋体" w:hAnsi="宋体" w:cs="宋体"/>
                <w:kern w:val="0"/>
                <w:sz w:val="15"/>
                <w:szCs w:val="21"/>
              </w:rPr>
            </w:pPr>
            <w:r>
              <w:rPr>
                <w:rFonts w:ascii="宋体" w:hAnsi="宋体" w:cs="宋体"/>
                <w:kern w:val="0"/>
                <w:sz w:val="15"/>
                <w:szCs w:val="21"/>
              </w:rPr>
              <w:t xml:space="preserve">5、 </w:t>
            </w:r>
            <w:r>
              <w:rPr>
                <w:rFonts w:ascii="宋体" w:hAnsi="宋体" w:cs="宋体" w:hint="eastAsia"/>
                <w:kern w:val="0"/>
                <w:sz w:val="15"/>
                <w:szCs w:val="21"/>
              </w:rPr>
              <w:t>冠状动脉搭桥术（或称冠状动脉旁路移植术）</w:t>
            </w:r>
          </w:p>
        </w:tc>
        <w:tc>
          <w:tcPr>
            <w:tcW w:w="2977" w:type="dxa"/>
            <w:vAlign w:val="center"/>
          </w:tcPr>
          <w:p w14:paraId="0D03275A" w14:textId="77777777" w:rsidR="008F265F" w:rsidRDefault="00A542E4">
            <w:pPr>
              <w:rPr>
                <w:rFonts w:ascii="宋体" w:hAnsi="宋体" w:cs="宋体"/>
                <w:kern w:val="0"/>
                <w:sz w:val="15"/>
                <w:szCs w:val="21"/>
              </w:rPr>
            </w:pPr>
            <w:r>
              <w:rPr>
                <w:rFonts w:ascii="宋体" w:hAnsi="宋体"/>
                <w:color w:val="000000"/>
                <w:sz w:val="15"/>
                <w:szCs w:val="21"/>
              </w:rPr>
              <w:t>51</w:t>
            </w:r>
            <w:r>
              <w:rPr>
                <w:rFonts w:ascii="宋体" w:hAnsi="宋体" w:hint="eastAsia"/>
                <w:color w:val="000000"/>
                <w:sz w:val="15"/>
                <w:szCs w:val="21"/>
              </w:rPr>
              <w:t>、</w:t>
            </w:r>
            <w:r>
              <w:rPr>
                <w:rFonts w:ascii="宋体" w:hAnsi="宋体"/>
                <w:color w:val="000000"/>
                <w:sz w:val="15"/>
                <w:szCs w:val="21"/>
              </w:rPr>
              <w:t xml:space="preserve"> 严重</w:t>
            </w:r>
            <w:r>
              <w:rPr>
                <w:rFonts w:ascii="宋体" w:hAnsi="宋体" w:hint="eastAsia"/>
                <w:color w:val="000000"/>
                <w:sz w:val="15"/>
                <w:szCs w:val="21"/>
              </w:rPr>
              <w:t>多发性硬化</w:t>
            </w:r>
          </w:p>
        </w:tc>
        <w:tc>
          <w:tcPr>
            <w:tcW w:w="2971" w:type="dxa"/>
            <w:vAlign w:val="center"/>
          </w:tcPr>
          <w:p w14:paraId="4D0966B6" w14:textId="77777777" w:rsidR="008F265F" w:rsidRDefault="00A542E4">
            <w:pPr>
              <w:rPr>
                <w:rFonts w:ascii="宋体" w:hAnsi="宋体" w:cs="宋体"/>
                <w:kern w:val="0"/>
                <w:sz w:val="15"/>
                <w:szCs w:val="21"/>
              </w:rPr>
            </w:pPr>
            <w:r>
              <w:rPr>
                <w:rFonts w:ascii="宋体" w:hAnsi="宋体" w:cs="宋体"/>
                <w:kern w:val="0"/>
                <w:sz w:val="15"/>
                <w:szCs w:val="21"/>
              </w:rPr>
              <w:t>97</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热纳综合征（窒息性胸腔失养症）(Turner Syndrome）</w:t>
            </w:r>
          </w:p>
        </w:tc>
      </w:tr>
      <w:tr w:rsidR="008F265F" w14:paraId="2DAF3618" w14:textId="77777777">
        <w:trPr>
          <w:jc w:val="center"/>
        </w:trPr>
        <w:tc>
          <w:tcPr>
            <w:tcW w:w="3114" w:type="dxa"/>
            <w:vAlign w:val="center"/>
          </w:tcPr>
          <w:p w14:paraId="72AC5194" w14:textId="77777777" w:rsidR="008F265F" w:rsidRDefault="00A542E4">
            <w:pPr>
              <w:rPr>
                <w:rFonts w:ascii="宋体" w:hAnsi="宋体" w:cs="宋体"/>
                <w:kern w:val="0"/>
                <w:sz w:val="15"/>
                <w:szCs w:val="21"/>
              </w:rPr>
            </w:pPr>
            <w:r>
              <w:rPr>
                <w:rFonts w:ascii="宋体" w:hAnsi="宋体" w:cs="宋体"/>
                <w:kern w:val="0"/>
                <w:sz w:val="15"/>
                <w:szCs w:val="21"/>
              </w:rPr>
              <w:t xml:space="preserve">6、 </w:t>
            </w:r>
            <w:r>
              <w:rPr>
                <w:rFonts w:ascii="宋体" w:hAnsi="宋体" w:cs="宋体" w:hint="eastAsia"/>
                <w:kern w:val="0"/>
                <w:sz w:val="15"/>
                <w:szCs w:val="21"/>
              </w:rPr>
              <w:t>严重慢性肾衰竭</w:t>
            </w:r>
          </w:p>
        </w:tc>
        <w:tc>
          <w:tcPr>
            <w:tcW w:w="2977" w:type="dxa"/>
            <w:vAlign w:val="center"/>
          </w:tcPr>
          <w:p w14:paraId="57C2A2C2" w14:textId="77777777" w:rsidR="008F265F" w:rsidRDefault="00A542E4">
            <w:pPr>
              <w:rPr>
                <w:rFonts w:ascii="宋体" w:hAnsi="宋体" w:cs="宋体"/>
                <w:kern w:val="0"/>
                <w:sz w:val="15"/>
                <w:szCs w:val="21"/>
              </w:rPr>
            </w:pPr>
            <w:r>
              <w:rPr>
                <w:rFonts w:ascii="宋体" w:hAnsi="宋体"/>
                <w:color w:val="000000"/>
                <w:sz w:val="15"/>
                <w:szCs w:val="21"/>
              </w:rPr>
              <w:t>52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全身性（型）重症肌无力</w:t>
            </w:r>
          </w:p>
        </w:tc>
        <w:tc>
          <w:tcPr>
            <w:tcW w:w="2971" w:type="dxa"/>
            <w:vAlign w:val="center"/>
          </w:tcPr>
          <w:p w14:paraId="60EAE064" w14:textId="77777777" w:rsidR="008F265F" w:rsidRDefault="00A542E4">
            <w:pPr>
              <w:rPr>
                <w:rFonts w:ascii="宋体" w:hAnsi="宋体" w:cs="宋体"/>
                <w:kern w:val="0"/>
                <w:sz w:val="15"/>
                <w:szCs w:val="21"/>
              </w:rPr>
            </w:pPr>
            <w:r>
              <w:rPr>
                <w:rFonts w:ascii="宋体" w:hAnsi="宋体" w:cs="宋体"/>
                <w:kern w:val="0"/>
                <w:sz w:val="15"/>
                <w:szCs w:val="21"/>
              </w:rPr>
              <w:t>98</w:t>
            </w:r>
            <w:r>
              <w:rPr>
                <w:rFonts w:ascii="宋体" w:hAnsi="宋体" w:cs="宋体" w:hint="eastAsia"/>
                <w:kern w:val="0"/>
                <w:sz w:val="15"/>
                <w:szCs w:val="21"/>
              </w:rPr>
              <w:t>、视神经脊髓炎（Neuromyelitis optica，NMO)</w:t>
            </w:r>
          </w:p>
        </w:tc>
      </w:tr>
      <w:tr w:rsidR="008F265F" w14:paraId="4769FD6F" w14:textId="77777777">
        <w:trPr>
          <w:jc w:val="center"/>
        </w:trPr>
        <w:tc>
          <w:tcPr>
            <w:tcW w:w="3114" w:type="dxa"/>
            <w:vAlign w:val="center"/>
          </w:tcPr>
          <w:p w14:paraId="35BB016C" w14:textId="77777777" w:rsidR="008F265F" w:rsidRDefault="00A542E4">
            <w:pPr>
              <w:rPr>
                <w:rFonts w:ascii="宋体" w:hAnsi="宋体" w:cs="宋体"/>
                <w:kern w:val="0"/>
                <w:sz w:val="15"/>
                <w:szCs w:val="21"/>
              </w:rPr>
            </w:pPr>
            <w:r>
              <w:rPr>
                <w:rFonts w:ascii="宋体" w:hAnsi="宋体" w:cs="宋体"/>
                <w:kern w:val="0"/>
                <w:sz w:val="15"/>
                <w:szCs w:val="21"/>
              </w:rPr>
              <w:t xml:space="preserve">7、 </w:t>
            </w:r>
            <w:r>
              <w:rPr>
                <w:rFonts w:ascii="宋体" w:hAnsi="宋体" w:cs="宋体" w:hint="eastAsia"/>
                <w:kern w:val="0"/>
                <w:sz w:val="15"/>
                <w:szCs w:val="21"/>
              </w:rPr>
              <w:t>多个肢体缺失</w:t>
            </w:r>
          </w:p>
        </w:tc>
        <w:tc>
          <w:tcPr>
            <w:tcW w:w="2977" w:type="dxa"/>
            <w:vAlign w:val="center"/>
          </w:tcPr>
          <w:p w14:paraId="623269BE" w14:textId="77777777" w:rsidR="008F265F" w:rsidRDefault="00A542E4">
            <w:pPr>
              <w:rPr>
                <w:rFonts w:ascii="宋体" w:hAnsi="宋体" w:cs="宋体"/>
                <w:kern w:val="0"/>
                <w:sz w:val="15"/>
                <w:szCs w:val="21"/>
              </w:rPr>
            </w:pPr>
            <w:r>
              <w:rPr>
                <w:rFonts w:ascii="宋体" w:hAnsi="宋体"/>
                <w:color w:val="000000"/>
                <w:sz w:val="15"/>
                <w:szCs w:val="21"/>
              </w:rPr>
              <w:t>53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严重心肌病</w:t>
            </w:r>
          </w:p>
        </w:tc>
        <w:tc>
          <w:tcPr>
            <w:tcW w:w="2971" w:type="dxa"/>
            <w:vAlign w:val="center"/>
          </w:tcPr>
          <w:p w14:paraId="430F923D" w14:textId="77777777" w:rsidR="008F265F" w:rsidRDefault="00A542E4">
            <w:pPr>
              <w:rPr>
                <w:rFonts w:ascii="宋体" w:hAnsi="宋体" w:cs="宋体"/>
                <w:kern w:val="0"/>
                <w:sz w:val="15"/>
                <w:szCs w:val="21"/>
              </w:rPr>
            </w:pPr>
            <w:r>
              <w:rPr>
                <w:rFonts w:ascii="宋体" w:hAnsi="宋体" w:cs="宋体"/>
                <w:kern w:val="0"/>
                <w:sz w:val="15"/>
                <w:szCs w:val="21"/>
              </w:rPr>
              <w:t>99</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尼曼皮克病</w:t>
            </w:r>
          </w:p>
        </w:tc>
      </w:tr>
      <w:tr w:rsidR="008F265F" w14:paraId="708637BE" w14:textId="77777777">
        <w:trPr>
          <w:jc w:val="center"/>
        </w:trPr>
        <w:tc>
          <w:tcPr>
            <w:tcW w:w="3114" w:type="dxa"/>
            <w:vAlign w:val="center"/>
          </w:tcPr>
          <w:p w14:paraId="482C6BE8" w14:textId="77777777" w:rsidR="008F265F" w:rsidRDefault="00A542E4">
            <w:pPr>
              <w:rPr>
                <w:rFonts w:ascii="宋体" w:hAnsi="宋体" w:cs="宋体"/>
                <w:kern w:val="0"/>
                <w:sz w:val="15"/>
                <w:szCs w:val="21"/>
              </w:rPr>
            </w:pPr>
            <w:r>
              <w:rPr>
                <w:rFonts w:ascii="宋体" w:hAnsi="宋体" w:cs="宋体"/>
                <w:kern w:val="0"/>
                <w:sz w:val="15"/>
                <w:szCs w:val="21"/>
              </w:rPr>
              <w:t xml:space="preserve">8、 </w:t>
            </w:r>
            <w:r>
              <w:rPr>
                <w:rFonts w:ascii="宋体" w:hAnsi="宋体" w:cs="宋体" w:hint="eastAsia"/>
                <w:kern w:val="0"/>
                <w:sz w:val="15"/>
                <w:szCs w:val="21"/>
              </w:rPr>
              <w:t>急性重症肝炎或亚急性重症肝炎</w:t>
            </w:r>
          </w:p>
        </w:tc>
        <w:tc>
          <w:tcPr>
            <w:tcW w:w="2977" w:type="dxa"/>
            <w:vAlign w:val="center"/>
          </w:tcPr>
          <w:p w14:paraId="6B34824A" w14:textId="77777777" w:rsidR="008F265F" w:rsidRDefault="00A542E4">
            <w:pPr>
              <w:rPr>
                <w:rFonts w:ascii="宋体" w:hAnsi="宋体" w:cs="宋体"/>
                <w:kern w:val="0"/>
                <w:sz w:val="15"/>
                <w:szCs w:val="21"/>
              </w:rPr>
            </w:pPr>
            <w:r>
              <w:rPr>
                <w:rFonts w:ascii="宋体" w:hAnsi="宋体"/>
                <w:color w:val="000000"/>
                <w:sz w:val="15"/>
                <w:szCs w:val="21"/>
              </w:rPr>
              <w:t>54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严重心肌炎</w:t>
            </w:r>
          </w:p>
        </w:tc>
        <w:tc>
          <w:tcPr>
            <w:tcW w:w="2971" w:type="dxa"/>
            <w:vAlign w:val="center"/>
          </w:tcPr>
          <w:p w14:paraId="58773702" w14:textId="77777777" w:rsidR="008F265F" w:rsidRDefault="00A542E4">
            <w:pPr>
              <w:rPr>
                <w:rFonts w:ascii="宋体" w:hAnsi="宋体" w:cs="宋体"/>
                <w:kern w:val="0"/>
                <w:sz w:val="15"/>
                <w:szCs w:val="21"/>
              </w:rPr>
            </w:pPr>
            <w:r>
              <w:rPr>
                <w:rFonts w:ascii="宋体" w:hAnsi="宋体" w:cs="宋体"/>
                <w:kern w:val="0"/>
                <w:sz w:val="15"/>
                <w:szCs w:val="21"/>
              </w:rPr>
              <w:t>100</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亚急性硬化性全脑炎</w:t>
            </w:r>
          </w:p>
        </w:tc>
      </w:tr>
      <w:tr w:rsidR="008F265F" w14:paraId="0E7CE616" w14:textId="77777777">
        <w:trPr>
          <w:jc w:val="center"/>
        </w:trPr>
        <w:tc>
          <w:tcPr>
            <w:tcW w:w="3114" w:type="dxa"/>
            <w:vAlign w:val="center"/>
          </w:tcPr>
          <w:p w14:paraId="68156311" w14:textId="77777777" w:rsidR="008F265F" w:rsidRDefault="00A542E4">
            <w:pPr>
              <w:rPr>
                <w:rFonts w:ascii="宋体" w:hAnsi="宋体" w:cs="宋体"/>
                <w:kern w:val="0"/>
                <w:sz w:val="15"/>
                <w:szCs w:val="21"/>
              </w:rPr>
            </w:pPr>
            <w:r>
              <w:rPr>
                <w:rFonts w:ascii="宋体" w:hAnsi="宋体" w:cs="宋体"/>
                <w:kern w:val="0"/>
                <w:sz w:val="15"/>
                <w:szCs w:val="21"/>
              </w:rPr>
              <w:t xml:space="preserve">9、 </w:t>
            </w:r>
            <w:r>
              <w:rPr>
                <w:rFonts w:ascii="宋体" w:hAnsi="宋体" w:cs="宋体" w:hint="eastAsia"/>
                <w:kern w:val="0"/>
                <w:sz w:val="15"/>
                <w:szCs w:val="21"/>
              </w:rPr>
              <w:t>严重非恶性颅内肿瘤</w:t>
            </w:r>
          </w:p>
        </w:tc>
        <w:tc>
          <w:tcPr>
            <w:tcW w:w="2977" w:type="dxa"/>
            <w:vAlign w:val="center"/>
          </w:tcPr>
          <w:p w14:paraId="17866483" w14:textId="77777777" w:rsidR="008F265F" w:rsidRDefault="00A542E4">
            <w:pPr>
              <w:rPr>
                <w:rFonts w:ascii="宋体" w:hAnsi="宋体" w:cs="宋体"/>
                <w:kern w:val="0"/>
                <w:sz w:val="15"/>
                <w:szCs w:val="21"/>
              </w:rPr>
            </w:pPr>
            <w:r>
              <w:rPr>
                <w:rFonts w:ascii="宋体" w:hAnsi="宋体"/>
                <w:color w:val="000000"/>
                <w:sz w:val="15"/>
                <w:szCs w:val="21"/>
              </w:rPr>
              <w:t>55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肺淋巴管肌瘤病</w:t>
            </w:r>
          </w:p>
        </w:tc>
        <w:tc>
          <w:tcPr>
            <w:tcW w:w="2971" w:type="dxa"/>
            <w:vAlign w:val="center"/>
          </w:tcPr>
          <w:p w14:paraId="19CAA732" w14:textId="77777777" w:rsidR="008F265F" w:rsidRDefault="00A542E4">
            <w:pPr>
              <w:rPr>
                <w:rFonts w:ascii="宋体" w:hAnsi="宋体" w:cs="宋体"/>
                <w:kern w:val="0"/>
                <w:sz w:val="15"/>
                <w:szCs w:val="21"/>
              </w:rPr>
            </w:pPr>
            <w:r>
              <w:rPr>
                <w:rFonts w:ascii="宋体" w:hAnsi="宋体"/>
                <w:color w:val="000000"/>
                <w:sz w:val="15"/>
                <w:szCs w:val="21"/>
              </w:rPr>
              <w:t>101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进行性风疹性全脑炎</w:t>
            </w:r>
          </w:p>
        </w:tc>
      </w:tr>
      <w:tr w:rsidR="008F265F" w14:paraId="3AB46D3B" w14:textId="77777777">
        <w:trPr>
          <w:jc w:val="center"/>
        </w:trPr>
        <w:tc>
          <w:tcPr>
            <w:tcW w:w="3114" w:type="dxa"/>
            <w:vAlign w:val="center"/>
          </w:tcPr>
          <w:p w14:paraId="689380F4" w14:textId="77777777" w:rsidR="008F265F" w:rsidRDefault="00A542E4">
            <w:pPr>
              <w:rPr>
                <w:rFonts w:ascii="宋体" w:hAnsi="宋体" w:cs="宋体"/>
                <w:kern w:val="0"/>
                <w:sz w:val="15"/>
                <w:szCs w:val="21"/>
              </w:rPr>
            </w:pPr>
            <w:r>
              <w:rPr>
                <w:rFonts w:ascii="宋体" w:hAnsi="宋体" w:cs="宋体"/>
                <w:kern w:val="0"/>
                <w:sz w:val="15"/>
                <w:szCs w:val="21"/>
              </w:rPr>
              <w:t xml:space="preserve">10、 </w:t>
            </w:r>
            <w:r>
              <w:rPr>
                <w:rFonts w:ascii="宋体" w:hAnsi="宋体" w:cs="宋体" w:hint="eastAsia"/>
                <w:kern w:val="0"/>
                <w:sz w:val="15"/>
                <w:szCs w:val="21"/>
              </w:rPr>
              <w:t>严重慢性肝衰竭</w:t>
            </w:r>
          </w:p>
        </w:tc>
        <w:tc>
          <w:tcPr>
            <w:tcW w:w="2977" w:type="dxa"/>
            <w:vAlign w:val="center"/>
          </w:tcPr>
          <w:p w14:paraId="7DC6FBDC" w14:textId="77777777" w:rsidR="008F265F" w:rsidRDefault="00A542E4">
            <w:pPr>
              <w:rPr>
                <w:rFonts w:ascii="宋体" w:hAnsi="宋体" w:cs="宋体"/>
                <w:kern w:val="0"/>
                <w:sz w:val="15"/>
                <w:szCs w:val="21"/>
              </w:rPr>
            </w:pPr>
            <w:r>
              <w:rPr>
                <w:rFonts w:ascii="宋体" w:hAnsi="宋体"/>
                <w:color w:val="000000"/>
                <w:sz w:val="15"/>
                <w:szCs w:val="21"/>
              </w:rPr>
              <w:t>56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侵蚀性葡萄胎（或称恶性葡萄胎）</w:t>
            </w:r>
          </w:p>
        </w:tc>
        <w:tc>
          <w:tcPr>
            <w:tcW w:w="2971" w:type="dxa"/>
            <w:vAlign w:val="center"/>
          </w:tcPr>
          <w:p w14:paraId="55B9245A" w14:textId="77777777" w:rsidR="008F265F" w:rsidRDefault="00A542E4">
            <w:pPr>
              <w:rPr>
                <w:rFonts w:ascii="宋体" w:hAnsi="宋体" w:cs="宋体"/>
                <w:kern w:val="0"/>
                <w:sz w:val="15"/>
                <w:szCs w:val="21"/>
              </w:rPr>
            </w:pPr>
            <w:r>
              <w:rPr>
                <w:rFonts w:ascii="宋体" w:hAnsi="宋体"/>
                <w:color w:val="000000"/>
                <w:sz w:val="15"/>
                <w:szCs w:val="21"/>
              </w:rPr>
              <w:t>102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败血症导致的多器官功能障碍综合症</w:t>
            </w:r>
          </w:p>
        </w:tc>
      </w:tr>
      <w:tr w:rsidR="008F265F" w14:paraId="00BAB0D5" w14:textId="77777777">
        <w:trPr>
          <w:jc w:val="center"/>
        </w:trPr>
        <w:tc>
          <w:tcPr>
            <w:tcW w:w="3114" w:type="dxa"/>
            <w:vAlign w:val="center"/>
          </w:tcPr>
          <w:p w14:paraId="36CF56C9" w14:textId="77777777" w:rsidR="008F265F" w:rsidRDefault="00A542E4">
            <w:pPr>
              <w:rPr>
                <w:rFonts w:ascii="宋体" w:hAnsi="宋体" w:cs="宋体"/>
                <w:kern w:val="0"/>
                <w:sz w:val="15"/>
                <w:szCs w:val="21"/>
              </w:rPr>
            </w:pPr>
            <w:r>
              <w:rPr>
                <w:rFonts w:ascii="宋体" w:hAnsi="宋体"/>
                <w:color w:val="000000"/>
                <w:sz w:val="15"/>
                <w:szCs w:val="21"/>
              </w:rPr>
              <w:t>11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严重脑炎后遗症或严重脑膜炎后遗症</w:t>
            </w:r>
          </w:p>
        </w:tc>
        <w:tc>
          <w:tcPr>
            <w:tcW w:w="2977" w:type="dxa"/>
            <w:vAlign w:val="center"/>
          </w:tcPr>
          <w:p w14:paraId="4B413B81" w14:textId="77777777" w:rsidR="008F265F" w:rsidRDefault="00A542E4">
            <w:pPr>
              <w:rPr>
                <w:rFonts w:ascii="宋体" w:hAnsi="宋体" w:cs="宋体"/>
                <w:kern w:val="0"/>
                <w:sz w:val="15"/>
                <w:szCs w:val="21"/>
              </w:rPr>
            </w:pPr>
            <w:r>
              <w:rPr>
                <w:rFonts w:ascii="宋体" w:hAnsi="宋体"/>
                <w:color w:val="000000"/>
                <w:sz w:val="15"/>
                <w:szCs w:val="21"/>
              </w:rPr>
              <w:t>57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心脏粘液瘤手术</w:t>
            </w:r>
          </w:p>
        </w:tc>
        <w:tc>
          <w:tcPr>
            <w:tcW w:w="2971" w:type="dxa"/>
            <w:vAlign w:val="center"/>
          </w:tcPr>
          <w:p w14:paraId="20949F94" w14:textId="77777777" w:rsidR="008F265F" w:rsidRDefault="00A542E4">
            <w:pPr>
              <w:rPr>
                <w:rFonts w:ascii="宋体" w:hAnsi="宋体" w:cs="宋体"/>
                <w:kern w:val="0"/>
                <w:sz w:val="15"/>
                <w:szCs w:val="21"/>
              </w:rPr>
            </w:pPr>
            <w:r>
              <w:rPr>
                <w:rFonts w:ascii="宋体" w:hAnsi="宋体" w:cs="宋体"/>
                <w:kern w:val="0"/>
                <w:sz w:val="15"/>
                <w:szCs w:val="21"/>
              </w:rPr>
              <w:t>103</w:t>
            </w:r>
            <w:r>
              <w:rPr>
                <w:rFonts w:ascii="宋体" w:hAnsi="宋体" w:cs="宋体" w:hint="eastAsia"/>
                <w:kern w:val="0"/>
                <w:sz w:val="15"/>
                <w:szCs w:val="21"/>
              </w:rPr>
              <w:t>、</w:t>
            </w:r>
            <w:r>
              <w:rPr>
                <w:rFonts w:ascii="宋体" w:hAnsi="宋体" w:cs="宋体"/>
                <w:kern w:val="0"/>
                <w:sz w:val="15"/>
                <w:szCs w:val="21"/>
              </w:rPr>
              <w:t xml:space="preserve"> 头</w:t>
            </w:r>
            <w:r>
              <w:rPr>
                <w:rFonts w:ascii="宋体" w:hAnsi="宋体" w:cs="宋体" w:hint="eastAsia"/>
                <w:kern w:val="0"/>
                <w:sz w:val="15"/>
                <w:szCs w:val="21"/>
              </w:rPr>
              <w:t>臂动脉型多发性大动脉炎旁路移植手术</w:t>
            </w:r>
          </w:p>
        </w:tc>
      </w:tr>
      <w:tr w:rsidR="008F265F" w14:paraId="22CFE96B" w14:textId="77777777">
        <w:trPr>
          <w:jc w:val="center"/>
        </w:trPr>
        <w:tc>
          <w:tcPr>
            <w:tcW w:w="3114" w:type="dxa"/>
            <w:vAlign w:val="center"/>
          </w:tcPr>
          <w:p w14:paraId="151E9A79" w14:textId="77777777" w:rsidR="008F265F" w:rsidRDefault="00A542E4">
            <w:pPr>
              <w:rPr>
                <w:rFonts w:ascii="宋体" w:hAnsi="宋体" w:cs="宋体"/>
                <w:kern w:val="0"/>
                <w:sz w:val="15"/>
                <w:szCs w:val="21"/>
              </w:rPr>
            </w:pPr>
            <w:r>
              <w:rPr>
                <w:rFonts w:ascii="宋体" w:hAnsi="宋体"/>
                <w:color w:val="000000"/>
                <w:sz w:val="15"/>
                <w:szCs w:val="21"/>
              </w:rPr>
              <w:t>12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深度昏迷</w:t>
            </w:r>
          </w:p>
        </w:tc>
        <w:tc>
          <w:tcPr>
            <w:tcW w:w="2977" w:type="dxa"/>
            <w:vAlign w:val="center"/>
          </w:tcPr>
          <w:p w14:paraId="5218C52F" w14:textId="77777777" w:rsidR="008F265F" w:rsidRDefault="00A542E4">
            <w:pPr>
              <w:rPr>
                <w:rFonts w:ascii="宋体" w:hAnsi="宋体" w:cs="宋体"/>
                <w:kern w:val="0"/>
                <w:sz w:val="15"/>
                <w:szCs w:val="21"/>
              </w:rPr>
            </w:pPr>
            <w:r>
              <w:rPr>
                <w:rFonts w:ascii="宋体" w:hAnsi="宋体"/>
                <w:color w:val="000000"/>
                <w:sz w:val="15"/>
                <w:szCs w:val="21"/>
              </w:rPr>
              <w:t>58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感染性心内膜炎</w:t>
            </w:r>
          </w:p>
        </w:tc>
        <w:tc>
          <w:tcPr>
            <w:tcW w:w="2971" w:type="dxa"/>
            <w:vAlign w:val="center"/>
          </w:tcPr>
          <w:p w14:paraId="1B518E61" w14:textId="77777777" w:rsidR="008F265F" w:rsidRDefault="00A542E4">
            <w:pPr>
              <w:rPr>
                <w:rFonts w:ascii="宋体" w:hAnsi="宋体" w:cs="宋体"/>
                <w:kern w:val="0"/>
                <w:sz w:val="15"/>
                <w:szCs w:val="21"/>
              </w:rPr>
            </w:pPr>
            <w:r>
              <w:rPr>
                <w:rFonts w:ascii="宋体" w:hAnsi="宋体" w:cs="宋体"/>
                <w:kern w:val="0"/>
                <w:sz w:val="15"/>
                <w:szCs w:val="21"/>
              </w:rPr>
              <w:t>104</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范可尼综合征（Fanconi综合征）——</w:t>
            </w:r>
            <w:r w:rsidRPr="00FD5F2C">
              <w:rPr>
                <w:rFonts w:ascii="宋体" w:hAnsi="宋体" w:cs="宋体" w:hint="eastAsia"/>
                <w:kern w:val="0"/>
                <w:sz w:val="15"/>
                <w:szCs w:val="21"/>
                <w:shd w:val="pct15" w:color="auto" w:fill="FFFFFF"/>
              </w:rPr>
              <w:t>三周岁后始理赔</w:t>
            </w:r>
          </w:p>
        </w:tc>
      </w:tr>
      <w:tr w:rsidR="008F265F" w14:paraId="5C85DFE8" w14:textId="77777777">
        <w:trPr>
          <w:jc w:val="center"/>
        </w:trPr>
        <w:tc>
          <w:tcPr>
            <w:tcW w:w="3114" w:type="dxa"/>
            <w:vAlign w:val="center"/>
          </w:tcPr>
          <w:p w14:paraId="1D3A80F8" w14:textId="77777777" w:rsidR="008F265F" w:rsidRDefault="00A542E4">
            <w:pPr>
              <w:rPr>
                <w:rFonts w:ascii="宋体" w:hAnsi="宋体" w:cs="宋体"/>
                <w:kern w:val="0"/>
                <w:sz w:val="15"/>
                <w:szCs w:val="21"/>
              </w:rPr>
            </w:pPr>
            <w:r>
              <w:rPr>
                <w:rFonts w:ascii="宋体" w:hAnsi="宋体"/>
                <w:color w:val="000000"/>
                <w:sz w:val="15"/>
                <w:szCs w:val="21"/>
              </w:rPr>
              <w:t>13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双耳失聪——</w:t>
            </w:r>
            <w:r w:rsidRPr="00FD5F2C">
              <w:rPr>
                <w:rFonts w:ascii="宋体" w:hAnsi="宋体" w:hint="eastAsia"/>
                <w:color w:val="000000"/>
                <w:sz w:val="15"/>
                <w:szCs w:val="21"/>
                <w:shd w:val="pct15" w:color="auto" w:fill="FFFFFF"/>
              </w:rPr>
              <w:t>三周岁后始理赔</w:t>
            </w:r>
          </w:p>
        </w:tc>
        <w:tc>
          <w:tcPr>
            <w:tcW w:w="2977" w:type="dxa"/>
            <w:vAlign w:val="center"/>
          </w:tcPr>
          <w:p w14:paraId="68726E6D" w14:textId="77777777" w:rsidR="008F265F" w:rsidRDefault="00A542E4">
            <w:pPr>
              <w:rPr>
                <w:rFonts w:ascii="宋体" w:hAnsi="宋体" w:cs="宋体"/>
                <w:kern w:val="0"/>
                <w:sz w:val="15"/>
                <w:szCs w:val="21"/>
              </w:rPr>
            </w:pPr>
            <w:r>
              <w:rPr>
                <w:rFonts w:ascii="宋体" w:hAnsi="宋体"/>
                <w:color w:val="000000"/>
                <w:sz w:val="15"/>
                <w:szCs w:val="21"/>
              </w:rPr>
              <w:t>59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肝豆状核变性</w:t>
            </w:r>
          </w:p>
        </w:tc>
        <w:tc>
          <w:tcPr>
            <w:tcW w:w="2971" w:type="dxa"/>
            <w:vAlign w:val="center"/>
          </w:tcPr>
          <w:p w14:paraId="09033E9E" w14:textId="77777777" w:rsidR="008F265F" w:rsidRDefault="00A542E4">
            <w:pPr>
              <w:rPr>
                <w:rFonts w:ascii="宋体" w:hAnsi="宋体" w:cs="宋体"/>
                <w:kern w:val="0"/>
                <w:sz w:val="15"/>
                <w:szCs w:val="21"/>
              </w:rPr>
            </w:pPr>
            <w:r>
              <w:rPr>
                <w:rFonts w:ascii="宋体" w:hAnsi="宋体"/>
                <w:color w:val="000000"/>
                <w:sz w:val="15"/>
                <w:szCs w:val="21"/>
              </w:rPr>
              <w:t>105</w:t>
            </w:r>
            <w:r>
              <w:rPr>
                <w:rFonts w:ascii="宋体" w:hAnsi="宋体" w:hint="eastAsia"/>
                <w:color w:val="000000"/>
                <w:sz w:val="15"/>
                <w:szCs w:val="21"/>
              </w:rPr>
              <w:t>、</w:t>
            </w:r>
            <w:r>
              <w:rPr>
                <w:rFonts w:ascii="宋体" w:hAnsi="宋体"/>
                <w:color w:val="000000"/>
                <w:sz w:val="15"/>
                <w:szCs w:val="21"/>
              </w:rPr>
              <w:t xml:space="preserve"> Brugada</w:t>
            </w:r>
            <w:r>
              <w:rPr>
                <w:rFonts w:ascii="宋体" w:hAnsi="宋体" w:hint="eastAsia"/>
                <w:color w:val="000000"/>
                <w:sz w:val="15"/>
                <w:szCs w:val="21"/>
              </w:rPr>
              <w:t>综合征</w:t>
            </w:r>
          </w:p>
        </w:tc>
      </w:tr>
      <w:tr w:rsidR="008F265F" w14:paraId="6D1BAE41" w14:textId="77777777">
        <w:trPr>
          <w:jc w:val="center"/>
        </w:trPr>
        <w:tc>
          <w:tcPr>
            <w:tcW w:w="3114" w:type="dxa"/>
            <w:vAlign w:val="center"/>
          </w:tcPr>
          <w:p w14:paraId="16EB9D14" w14:textId="77777777" w:rsidR="008F265F" w:rsidRDefault="00A542E4">
            <w:pPr>
              <w:rPr>
                <w:rFonts w:ascii="宋体" w:hAnsi="宋体" w:cs="宋体"/>
                <w:kern w:val="0"/>
                <w:sz w:val="15"/>
                <w:szCs w:val="21"/>
              </w:rPr>
            </w:pPr>
            <w:r>
              <w:rPr>
                <w:rFonts w:ascii="宋体" w:hAnsi="宋体"/>
                <w:color w:val="000000"/>
                <w:sz w:val="15"/>
                <w:szCs w:val="21"/>
              </w:rPr>
              <w:t>14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双目失明——</w:t>
            </w:r>
            <w:r w:rsidRPr="00FD5F2C">
              <w:rPr>
                <w:rFonts w:ascii="宋体" w:hAnsi="宋体" w:hint="eastAsia"/>
                <w:color w:val="000000"/>
                <w:sz w:val="15"/>
                <w:szCs w:val="21"/>
                <w:shd w:val="pct15" w:color="auto" w:fill="FFFFFF"/>
              </w:rPr>
              <w:t>三周岁后始理赔</w:t>
            </w:r>
          </w:p>
        </w:tc>
        <w:tc>
          <w:tcPr>
            <w:tcW w:w="2977" w:type="dxa"/>
            <w:vAlign w:val="center"/>
          </w:tcPr>
          <w:p w14:paraId="67F5BAEA" w14:textId="77777777" w:rsidR="008F265F" w:rsidRDefault="00A542E4">
            <w:pPr>
              <w:rPr>
                <w:rFonts w:ascii="宋体" w:hAnsi="宋体" w:cs="宋体"/>
                <w:kern w:val="0"/>
                <w:sz w:val="15"/>
                <w:szCs w:val="21"/>
              </w:rPr>
            </w:pPr>
            <w:r>
              <w:rPr>
                <w:rFonts w:ascii="宋体" w:hAnsi="宋体"/>
                <w:color w:val="000000"/>
                <w:sz w:val="15"/>
                <w:szCs w:val="21"/>
              </w:rPr>
              <w:t>60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肺源性心脏病</w:t>
            </w:r>
          </w:p>
        </w:tc>
        <w:tc>
          <w:tcPr>
            <w:tcW w:w="2971" w:type="dxa"/>
            <w:vAlign w:val="center"/>
          </w:tcPr>
          <w:p w14:paraId="59109B1E" w14:textId="77777777" w:rsidR="008F265F" w:rsidRDefault="00A542E4">
            <w:pPr>
              <w:rPr>
                <w:rFonts w:ascii="宋体" w:hAnsi="宋体" w:cs="宋体"/>
                <w:kern w:val="0"/>
                <w:sz w:val="15"/>
                <w:szCs w:val="21"/>
              </w:rPr>
            </w:pPr>
            <w:r>
              <w:rPr>
                <w:rFonts w:ascii="宋体" w:hAnsi="宋体"/>
                <w:color w:val="000000"/>
                <w:sz w:val="15"/>
                <w:szCs w:val="21"/>
              </w:rPr>
              <w:t>106</w:t>
            </w:r>
            <w:r>
              <w:rPr>
                <w:rFonts w:ascii="宋体" w:hAnsi="宋体" w:hint="eastAsia"/>
                <w:color w:val="000000"/>
                <w:sz w:val="15"/>
                <w:szCs w:val="21"/>
              </w:rPr>
              <w:t>、</w:t>
            </w:r>
            <w:r>
              <w:rPr>
                <w:rFonts w:ascii="宋体" w:hAnsi="宋体"/>
                <w:color w:val="000000"/>
                <w:sz w:val="15"/>
                <w:szCs w:val="21"/>
              </w:rPr>
              <w:t xml:space="preserve"> 严重</w:t>
            </w:r>
            <w:r>
              <w:rPr>
                <w:rFonts w:ascii="宋体" w:hAnsi="宋体" w:hint="eastAsia"/>
                <w:color w:val="000000"/>
                <w:sz w:val="15"/>
                <w:szCs w:val="21"/>
              </w:rPr>
              <w:t>弥漫性硬化</w:t>
            </w:r>
          </w:p>
        </w:tc>
      </w:tr>
      <w:tr w:rsidR="008F265F" w14:paraId="1174E5FF" w14:textId="77777777">
        <w:trPr>
          <w:jc w:val="center"/>
        </w:trPr>
        <w:tc>
          <w:tcPr>
            <w:tcW w:w="3114" w:type="dxa"/>
            <w:vAlign w:val="center"/>
          </w:tcPr>
          <w:p w14:paraId="59F8E414" w14:textId="77777777" w:rsidR="008F265F" w:rsidRDefault="00A542E4">
            <w:pPr>
              <w:rPr>
                <w:rFonts w:ascii="宋体" w:hAnsi="宋体" w:cs="宋体"/>
                <w:kern w:val="0"/>
                <w:sz w:val="15"/>
                <w:szCs w:val="21"/>
              </w:rPr>
            </w:pPr>
            <w:r>
              <w:rPr>
                <w:rFonts w:ascii="宋体" w:hAnsi="宋体"/>
                <w:color w:val="000000"/>
                <w:sz w:val="15"/>
                <w:szCs w:val="21"/>
              </w:rPr>
              <w:t>15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瘫痪</w:t>
            </w:r>
          </w:p>
        </w:tc>
        <w:tc>
          <w:tcPr>
            <w:tcW w:w="2977" w:type="dxa"/>
            <w:vAlign w:val="center"/>
          </w:tcPr>
          <w:p w14:paraId="3C52C5D5" w14:textId="77777777" w:rsidR="008F265F" w:rsidRDefault="00A542E4">
            <w:pPr>
              <w:rPr>
                <w:rFonts w:ascii="宋体" w:hAnsi="宋体" w:cs="宋体"/>
                <w:kern w:val="0"/>
                <w:sz w:val="15"/>
                <w:szCs w:val="21"/>
              </w:rPr>
            </w:pPr>
            <w:r>
              <w:rPr>
                <w:rFonts w:ascii="宋体" w:hAnsi="宋体"/>
                <w:color w:val="000000"/>
                <w:sz w:val="15"/>
                <w:szCs w:val="21"/>
              </w:rPr>
              <w:t>61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肾髓质囊性病</w:t>
            </w:r>
          </w:p>
        </w:tc>
        <w:tc>
          <w:tcPr>
            <w:tcW w:w="2971" w:type="dxa"/>
            <w:vAlign w:val="center"/>
          </w:tcPr>
          <w:p w14:paraId="4E7C4BCD" w14:textId="77777777" w:rsidR="008F265F" w:rsidRDefault="00A542E4">
            <w:pPr>
              <w:rPr>
                <w:rFonts w:ascii="宋体" w:hAnsi="宋体" w:cs="宋体"/>
                <w:kern w:val="0"/>
                <w:sz w:val="15"/>
                <w:szCs w:val="21"/>
              </w:rPr>
            </w:pPr>
            <w:r>
              <w:rPr>
                <w:rFonts w:ascii="宋体" w:hAnsi="宋体"/>
                <w:color w:val="000000"/>
                <w:sz w:val="15"/>
                <w:szCs w:val="21"/>
              </w:rPr>
              <w:t>107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闭锁综合征</w:t>
            </w:r>
          </w:p>
        </w:tc>
      </w:tr>
      <w:tr w:rsidR="008F265F" w14:paraId="585292DA" w14:textId="77777777">
        <w:trPr>
          <w:jc w:val="center"/>
        </w:trPr>
        <w:tc>
          <w:tcPr>
            <w:tcW w:w="3114" w:type="dxa"/>
            <w:vAlign w:val="center"/>
          </w:tcPr>
          <w:p w14:paraId="4CA8180A" w14:textId="77777777" w:rsidR="008F265F" w:rsidRDefault="00A542E4">
            <w:pPr>
              <w:rPr>
                <w:rFonts w:ascii="宋体" w:hAnsi="宋体" w:cs="宋体"/>
                <w:kern w:val="0"/>
                <w:sz w:val="15"/>
                <w:szCs w:val="21"/>
              </w:rPr>
            </w:pPr>
            <w:r>
              <w:rPr>
                <w:rFonts w:ascii="宋体" w:hAnsi="宋体"/>
                <w:color w:val="000000"/>
                <w:sz w:val="15"/>
                <w:szCs w:val="21"/>
              </w:rPr>
              <w:t>16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心脏瓣膜手术</w:t>
            </w:r>
          </w:p>
        </w:tc>
        <w:tc>
          <w:tcPr>
            <w:tcW w:w="2977" w:type="dxa"/>
            <w:vAlign w:val="center"/>
          </w:tcPr>
          <w:p w14:paraId="67AF1E82" w14:textId="77777777" w:rsidR="008F265F" w:rsidRDefault="00A542E4">
            <w:pPr>
              <w:rPr>
                <w:rFonts w:ascii="宋体" w:hAnsi="宋体" w:cs="宋体"/>
                <w:kern w:val="0"/>
                <w:sz w:val="15"/>
                <w:szCs w:val="21"/>
              </w:rPr>
            </w:pPr>
            <w:r>
              <w:rPr>
                <w:rFonts w:ascii="宋体" w:hAnsi="宋体"/>
                <w:color w:val="000000"/>
                <w:sz w:val="15"/>
                <w:szCs w:val="21"/>
              </w:rPr>
              <w:t>62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严重继发性肺动脉高压</w:t>
            </w:r>
          </w:p>
        </w:tc>
        <w:tc>
          <w:tcPr>
            <w:tcW w:w="2971" w:type="dxa"/>
            <w:vAlign w:val="center"/>
          </w:tcPr>
          <w:p w14:paraId="44324A20" w14:textId="77777777" w:rsidR="008F265F" w:rsidRDefault="00A542E4">
            <w:pPr>
              <w:rPr>
                <w:rFonts w:ascii="宋体" w:hAnsi="宋体" w:cs="宋体"/>
                <w:kern w:val="0"/>
                <w:sz w:val="15"/>
                <w:szCs w:val="21"/>
              </w:rPr>
            </w:pPr>
            <w:r>
              <w:rPr>
                <w:rFonts w:ascii="宋体" w:hAnsi="宋体"/>
                <w:color w:val="000000"/>
                <w:sz w:val="15"/>
                <w:szCs w:val="21"/>
              </w:rPr>
              <w:t>108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神经白塞病</w:t>
            </w:r>
          </w:p>
        </w:tc>
      </w:tr>
      <w:tr w:rsidR="008F265F" w14:paraId="321887E2" w14:textId="77777777">
        <w:trPr>
          <w:jc w:val="center"/>
        </w:trPr>
        <w:tc>
          <w:tcPr>
            <w:tcW w:w="3114" w:type="dxa"/>
            <w:vAlign w:val="center"/>
          </w:tcPr>
          <w:p w14:paraId="72D89E3E" w14:textId="77777777" w:rsidR="008F265F" w:rsidRDefault="00A542E4">
            <w:pPr>
              <w:rPr>
                <w:rFonts w:ascii="宋体" w:hAnsi="宋体" w:cs="宋体"/>
                <w:kern w:val="0"/>
                <w:sz w:val="15"/>
                <w:szCs w:val="21"/>
              </w:rPr>
            </w:pPr>
            <w:r>
              <w:rPr>
                <w:rFonts w:ascii="宋体" w:hAnsi="宋体"/>
                <w:color w:val="000000"/>
                <w:sz w:val="15"/>
                <w:szCs w:val="21"/>
              </w:rPr>
              <w:t>17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严重阿尔茨海默病</w:t>
            </w:r>
          </w:p>
        </w:tc>
        <w:tc>
          <w:tcPr>
            <w:tcW w:w="2977" w:type="dxa"/>
            <w:vAlign w:val="center"/>
          </w:tcPr>
          <w:p w14:paraId="7B3BA3AF" w14:textId="77777777" w:rsidR="008F265F" w:rsidRDefault="00A542E4">
            <w:pPr>
              <w:rPr>
                <w:rFonts w:ascii="宋体" w:hAnsi="宋体" w:cs="宋体"/>
                <w:kern w:val="0"/>
                <w:sz w:val="15"/>
                <w:szCs w:val="21"/>
              </w:rPr>
            </w:pPr>
            <w:r>
              <w:rPr>
                <w:rFonts w:ascii="宋体" w:hAnsi="宋体"/>
                <w:color w:val="000000"/>
                <w:sz w:val="15"/>
                <w:szCs w:val="21"/>
              </w:rPr>
              <w:t>63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进行性核上性麻痹</w:t>
            </w:r>
          </w:p>
        </w:tc>
        <w:tc>
          <w:tcPr>
            <w:tcW w:w="2971" w:type="dxa"/>
            <w:vAlign w:val="center"/>
          </w:tcPr>
          <w:p w14:paraId="3A0377D2" w14:textId="77777777" w:rsidR="008F265F" w:rsidRDefault="00A542E4">
            <w:pPr>
              <w:rPr>
                <w:rFonts w:ascii="宋体" w:hAnsi="宋体" w:cs="宋体"/>
                <w:kern w:val="0"/>
                <w:sz w:val="15"/>
                <w:szCs w:val="21"/>
              </w:rPr>
            </w:pPr>
            <w:r>
              <w:rPr>
                <w:rFonts w:ascii="宋体" w:hAnsi="宋体"/>
                <w:color w:val="000000"/>
                <w:sz w:val="15"/>
                <w:szCs w:val="21"/>
              </w:rPr>
              <w:t>109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严重Ⅲ度冻伤导致截肢</w:t>
            </w:r>
          </w:p>
        </w:tc>
      </w:tr>
      <w:tr w:rsidR="008F265F" w14:paraId="63CFC9AE" w14:textId="77777777">
        <w:trPr>
          <w:jc w:val="center"/>
        </w:trPr>
        <w:tc>
          <w:tcPr>
            <w:tcW w:w="3114" w:type="dxa"/>
            <w:vAlign w:val="center"/>
          </w:tcPr>
          <w:p w14:paraId="7221C5B6" w14:textId="77777777" w:rsidR="008F265F" w:rsidRDefault="00A542E4">
            <w:pPr>
              <w:rPr>
                <w:rFonts w:ascii="宋体" w:hAnsi="宋体" w:cs="宋体"/>
                <w:kern w:val="0"/>
                <w:sz w:val="15"/>
                <w:szCs w:val="21"/>
              </w:rPr>
            </w:pPr>
            <w:r>
              <w:rPr>
                <w:rFonts w:ascii="宋体" w:hAnsi="宋体"/>
                <w:color w:val="000000"/>
                <w:sz w:val="15"/>
                <w:szCs w:val="21"/>
              </w:rPr>
              <w:t>18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严重脑损伤</w:t>
            </w:r>
          </w:p>
        </w:tc>
        <w:tc>
          <w:tcPr>
            <w:tcW w:w="2977" w:type="dxa"/>
            <w:vAlign w:val="center"/>
          </w:tcPr>
          <w:p w14:paraId="14AAC471" w14:textId="77777777" w:rsidR="008F265F" w:rsidRDefault="00A542E4">
            <w:pPr>
              <w:rPr>
                <w:rFonts w:ascii="宋体" w:hAnsi="宋体" w:cs="宋体"/>
                <w:kern w:val="0"/>
                <w:sz w:val="15"/>
                <w:szCs w:val="21"/>
              </w:rPr>
            </w:pPr>
            <w:r>
              <w:rPr>
                <w:rFonts w:ascii="宋体" w:hAnsi="宋体"/>
                <w:color w:val="000000"/>
                <w:sz w:val="15"/>
                <w:szCs w:val="21"/>
              </w:rPr>
              <w:t>64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失去一肢及一眼</w:t>
            </w:r>
          </w:p>
        </w:tc>
        <w:tc>
          <w:tcPr>
            <w:tcW w:w="2971" w:type="dxa"/>
            <w:vAlign w:val="center"/>
          </w:tcPr>
          <w:p w14:paraId="763ED71F" w14:textId="77777777" w:rsidR="008F265F" w:rsidRDefault="00A542E4">
            <w:pPr>
              <w:rPr>
                <w:rFonts w:ascii="宋体" w:hAnsi="宋体" w:cs="宋体"/>
                <w:kern w:val="0"/>
                <w:sz w:val="15"/>
                <w:szCs w:val="21"/>
              </w:rPr>
            </w:pPr>
            <w:r>
              <w:rPr>
                <w:rFonts w:ascii="宋体" w:hAnsi="宋体"/>
                <w:color w:val="000000"/>
                <w:sz w:val="15"/>
                <w:szCs w:val="21"/>
              </w:rPr>
              <w:t>110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w:t>
            </w:r>
            <w:r>
              <w:rPr>
                <w:rFonts w:ascii="宋体" w:hAnsi="宋体"/>
                <w:color w:val="000000"/>
                <w:sz w:val="15"/>
                <w:szCs w:val="21"/>
              </w:rPr>
              <w:t>1</w:t>
            </w:r>
            <w:r>
              <w:rPr>
                <w:rFonts w:ascii="宋体" w:hAnsi="宋体" w:hint="eastAsia"/>
                <w:color w:val="000000"/>
                <w:sz w:val="15"/>
                <w:szCs w:val="21"/>
              </w:rPr>
              <w:t>型糖尿病</w:t>
            </w:r>
          </w:p>
        </w:tc>
      </w:tr>
      <w:tr w:rsidR="008F265F" w14:paraId="5BA06BB7" w14:textId="77777777">
        <w:trPr>
          <w:jc w:val="center"/>
        </w:trPr>
        <w:tc>
          <w:tcPr>
            <w:tcW w:w="3114" w:type="dxa"/>
            <w:vAlign w:val="center"/>
          </w:tcPr>
          <w:p w14:paraId="3578F725" w14:textId="77777777" w:rsidR="008F265F" w:rsidRDefault="00A542E4">
            <w:pPr>
              <w:rPr>
                <w:rFonts w:ascii="宋体" w:hAnsi="宋体" w:cs="宋体"/>
                <w:kern w:val="0"/>
                <w:sz w:val="15"/>
                <w:szCs w:val="21"/>
              </w:rPr>
            </w:pPr>
            <w:r>
              <w:rPr>
                <w:rFonts w:ascii="宋体" w:hAnsi="宋体"/>
                <w:color w:val="000000"/>
                <w:sz w:val="15"/>
                <w:szCs w:val="21"/>
              </w:rPr>
              <w:t>19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严重原发性帕金森病</w:t>
            </w:r>
          </w:p>
        </w:tc>
        <w:tc>
          <w:tcPr>
            <w:tcW w:w="2977" w:type="dxa"/>
            <w:vAlign w:val="center"/>
          </w:tcPr>
          <w:p w14:paraId="7CAE2599" w14:textId="77777777" w:rsidR="008F265F" w:rsidRDefault="00A542E4">
            <w:pPr>
              <w:rPr>
                <w:rFonts w:ascii="宋体" w:hAnsi="宋体" w:cs="宋体"/>
                <w:kern w:val="0"/>
                <w:sz w:val="15"/>
                <w:szCs w:val="21"/>
              </w:rPr>
            </w:pPr>
            <w:r>
              <w:rPr>
                <w:rFonts w:ascii="宋体" w:hAnsi="宋体"/>
                <w:color w:val="000000"/>
                <w:sz w:val="15"/>
                <w:szCs w:val="21"/>
              </w:rPr>
              <w:t>65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嗜铬细胞瘤</w:t>
            </w:r>
          </w:p>
        </w:tc>
        <w:tc>
          <w:tcPr>
            <w:tcW w:w="2971" w:type="dxa"/>
            <w:vAlign w:val="center"/>
          </w:tcPr>
          <w:p w14:paraId="3FE552A5" w14:textId="77777777" w:rsidR="008F265F" w:rsidRDefault="00A542E4">
            <w:pPr>
              <w:rPr>
                <w:rFonts w:ascii="宋体" w:hAnsi="宋体" w:cs="宋体"/>
                <w:kern w:val="0"/>
                <w:sz w:val="15"/>
                <w:szCs w:val="21"/>
              </w:rPr>
            </w:pPr>
            <w:r>
              <w:rPr>
                <w:rFonts w:ascii="宋体" w:hAnsi="宋体"/>
                <w:color w:val="000000"/>
                <w:sz w:val="15"/>
                <w:szCs w:val="21"/>
              </w:rPr>
              <w:t>111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严重心脏衰竭</w:t>
            </w:r>
            <w:r>
              <w:rPr>
                <w:rFonts w:ascii="宋体" w:hAnsi="宋体"/>
                <w:color w:val="000000"/>
                <w:sz w:val="15"/>
                <w:szCs w:val="21"/>
              </w:rPr>
              <w:t>CRT</w:t>
            </w:r>
            <w:r>
              <w:rPr>
                <w:rFonts w:ascii="宋体" w:hAnsi="宋体" w:hint="eastAsia"/>
                <w:color w:val="000000"/>
                <w:sz w:val="15"/>
                <w:szCs w:val="21"/>
              </w:rPr>
              <w:t>心脏再同步治疗</w:t>
            </w:r>
          </w:p>
        </w:tc>
      </w:tr>
      <w:tr w:rsidR="008F265F" w14:paraId="21D8D19D" w14:textId="77777777">
        <w:trPr>
          <w:jc w:val="center"/>
        </w:trPr>
        <w:tc>
          <w:tcPr>
            <w:tcW w:w="3114" w:type="dxa"/>
            <w:vAlign w:val="center"/>
          </w:tcPr>
          <w:p w14:paraId="34513B46" w14:textId="77777777" w:rsidR="008F265F" w:rsidRDefault="00A542E4">
            <w:pPr>
              <w:rPr>
                <w:rFonts w:ascii="宋体" w:hAnsi="宋体" w:cs="宋体"/>
                <w:kern w:val="0"/>
                <w:sz w:val="15"/>
                <w:szCs w:val="21"/>
              </w:rPr>
            </w:pPr>
            <w:r>
              <w:rPr>
                <w:rFonts w:ascii="宋体" w:hAnsi="宋体"/>
                <w:color w:val="000000"/>
                <w:sz w:val="15"/>
                <w:szCs w:val="21"/>
              </w:rPr>
              <w:t>20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严重Ⅲ度烧伤</w:t>
            </w:r>
          </w:p>
        </w:tc>
        <w:tc>
          <w:tcPr>
            <w:tcW w:w="2977" w:type="dxa"/>
            <w:vAlign w:val="center"/>
          </w:tcPr>
          <w:p w14:paraId="2B5BC692" w14:textId="77777777" w:rsidR="008F265F" w:rsidRDefault="00A542E4">
            <w:pPr>
              <w:rPr>
                <w:rFonts w:ascii="宋体" w:hAnsi="宋体" w:cs="宋体"/>
                <w:kern w:val="0"/>
                <w:sz w:val="15"/>
                <w:szCs w:val="21"/>
              </w:rPr>
            </w:pPr>
            <w:r>
              <w:rPr>
                <w:rFonts w:ascii="宋体" w:hAnsi="宋体"/>
                <w:color w:val="000000"/>
                <w:sz w:val="15"/>
                <w:szCs w:val="21"/>
              </w:rPr>
              <w:t>66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颅脑手术</w:t>
            </w:r>
          </w:p>
        </w:tc>
        <w:tc>
          <w:tcPr>
            <w:tcW w:w="2971" w:type="dxa"/>
            <w:vAlign w:val="center"/>
          </w:tcPr>
          <w:p w14:paraId="7ADD9638" w14:textId="77777777" w:rsidR="008F265F" w:rsidRDefault="00A542E4">
            <w:pPr>
              <w:rPr>
                <w:rFonts w:ascii="宋体" w:hAnsi="宋体" w:cs="宋体"/>
                <w:kern w:val="0"/>
                <w:sz w:val="15"/>
                <w:szCs w:val="21"/>
              </w:rPr>
            </w:pPr>
            <w:r>
              <w:rPr>
                <w:rFonts w:ascii="宋体" w:hAnsi="宋体"/>
                <w:color w:val="000000"/>
                <w:sz w:val="15"/>
                <w:szCs w:val="21"/>
              </w:rPr>
              <w:t>112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皮质基底节变性</w:t>
            </w:r>
          </w:p>
        </w:tc>
      </w:tr>
      <w:tr w:rsidR="008F265F" w14:paraId="6659C5E1" w14:textId="77777777">
        <w:trPr>
          <w:jc w:val="center"/>
        </w:trPr>
        <w:tc>
          <w:tcPr>
            <w:tcW w:w="3114" w:type="dxa"/>
            <w:vAlign w:val="center"/>
          </w:tcPr>
          <w:p w14:paraId="15EE43D6" w14:textId="77777777" w:rsidR="008F265F" w:rsidRDefault="00A542E4">
            <w:pPr>
              <w:rPr>
                <w:rFonts w:ascii="宋体" w:hAnsi="宋体" w:cs="宋体"/>
                <w:kern w:val="0"/>
                <w:sz w:val="15"/>
                <w:szCs w:val="21"/>
              </w:rPr>
            </w:pPr>
            <w:r>
              <w:rPr>
                <w:rFonts w:ascii="宋体" w:hAnsi="宋体"/>
                <w:color w:val="000000"/>
                <w:sz w:val="15"/>
                <w:szCs w:val="21"/>
              </w:rPr>
              <w:t>21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w:t>
            </w:r>
            <w:r>
              <w:rPr>
                <w:rFonts w:ascii="宋体" w:hAnsi="宋体"/>
                <w:color w:val="000000"/>
                <w:sz w:val="15"/>
                <w:szCs w:val="21"/>
              </w:rPr>
              <w:t>特</w:t>
            </w:r>
            <w:r>
              <w:rPr>
                <w:rFonts w:ascii="宋体" w:hAnsi="宋体" w:hint="eastAsia"/>
                <w:color w:val="000000"/>
                <w:sz w:val="15"/>
                <w:szCs w:val="21"/>
              </w:rPr>
              <w:t>发性肺动脉高压</w:t>
            </w:r>
          </w:p>
        </w:tc>
        <w:tc>
          <w:tcPr>
            <w:tcW w:w="2977" w:type="dxa"/>
            <w:vAlign w:val="center"/>
          </w:tcPr>
          <w:p w14:paraId="70AD2D60" w14:textId="77777777" w:rsidR="008F265F" w:rsidRDefault="00A542E4">
            <w:pPr>
              <w:rPr>
                <w:rFonts w:ascii="宋体" w:hAnsi="宋体" w:cs="宋体"/>
                <w:kern w:val="0"/>
                <w:sz w:val="15"/>
                <w:szCs w:val="21"/>
              </w:rPr>
            </w:pPr>
            <w:r>
              <w:rPr>
                <w:rFonts w:ascii="宋体" w:hAnsi="宋体"/>
                <w:color w:val="000000"/>
                <w:sz w:val="15"/>
                <w:szCs w:val="21"/>
              </w:rPr>
              <w:t>67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严重自身免疫性肝炎</w:t>
            </w:r>
          </w:p>
        </w:tc>
        <w:tc>
          <w:tcPr>
            <w:tcW w:w="2971" w:type="dxa"/>
            <w:vAlign w:val="center"/>
          </w:tcPr>
          <w:p w14:paraId="3EB2A466" w14:textId="77777777" w:rsidR="008F265F" w:rsidRDefault="00A542E4">
            <w:pPr>
              <w:rPr>
                <w:rFonts w:ascii="宋体" w:hAnsi="宋体" w:cs="宋体"/>
                <w:kern w:val="0"/>
                <w:sz w:val="15"/>
                <w:szCs w:val="21"/>
              </w:rPr>
            </w:pPr>
            <w:r>
              <w:rPr>
                <w:rFonts w:ascii="宋体" w:hAnsi="宋体"/>
                <w:color w:val="000000"/>
                <w:sz w:val="15"/>
                <w:szCs w:val="21"/>
              </w:rPr>
              <w:t>113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异染性脑白质营养不良</w:t>
            </w:r>
          </w:p>
        </w:tc>
      </w:tr>
      <w:tr w:rsidR="008F265F" w14:paraId="3CF10475" w14:textId="77777777">
        <w:trPr>
          <w:jc w:val="center"/>
        </w:trPr>
        <w:tc>
          <w:tcPr>
            <w:tcW w:w="3114" w:type="dxa"/>
            <w:vAlign w:val="center"/>
          </w:tcPr>
          <w:p w14:paraId="1D092700" w14:textId="77777777" w:rsidR="008F265F" w:rsidRDefault="00A542E4">
            <w:pPr>
              <w:rPr>
                <w:rFonts w:ascii="宋体" w:hAnsi="宋体" w:cs="宋体"/>
                <w:kern w:val="0"/>
                <w:sz w:val="15"/>
                <w:szCs w:val="21"/>
              </w:rPr>
            </w:pPr>
            <w:r>
              <w:rPr>
                <w:rFonts w:ascii="宋体" w:hAnsi="宋体"/>
                <w:color w:val="000000"/>
                <w:sz w:val="15"/>
                <w:szCs w:val="21"/>
              </w:rPr>
              <w:t>22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严重运动神经元病</w:t>
            </w:r>
          </w:p>
        </w:tc>
        <w:tc>
          <w:tcPr>
            <w:tcW w:w="2977" w:type="dxa"/>
            <w:vAlign w:val="center"/>
          </w:tcPr>
          <w:p w14:paraId="0329F1D0" w14:textId="77777777" w:rsidR="008F265F" w:rsidRDefault="00A542E4">
            <w:pPr>
              <w:rPr>
                <w:rFonts w:ascii="宋体" w:hAnsi="宋体" w:cs="宋体"/>
                <w:kern w:val="0"/>
                <w:sz w:val="15"/>
                <w:szCs w:val="21"/>
              </w:rPr>
            </w:pPr>
            <w:r>
              <w:rPr>
                <w:rFonts w:ascii="宋体" w:hAnsi="宋体"/>
                <w:color w:val="000000"/>
                <w:sz w:val="15"/>
                <w:szCs w:val="21"/>
              </w:rPr>
              <w:t>68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原发性骨髓纤维化</w:t>
            </w:r>
          </w:p>
        </w:tc>
        <w:tc>
          <w:tcPr>
            <w:tcW w:w="2971" w:type="dxa"/>
            <w:vAlign w:val="center"/>
          </w:tcPr>
          <w:p w14:paraId="7B2E5E9F" w14:textId="77777777" w:rsidR="008F265F" w:rsidRDefault="00A542E4">
            <w:pPr>
              <w:rPr>
                <w:rFonts w:ascii="宋体" w:hAnsi="宋体" w:cs="宋体"/>
                <w:kern w:val="0"/>
                <w:sz w:val="15"/>
                <w:szCs w:val="21"/>
              </w:rPr>
            </w:pPr>
            <w:r>
              <w:rPr>
                <w:rFonts w:ascii="宋体" w:hAnsi="宋体"/>
                <w:color w:val="000000"/>
                <w:sz w:val="15"/>
                <w:szCs w:val="21"/>
              </w:rPr>
              <w:t>114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狂犬病</w:t>
            </w:r>
          </w:p>
        </w:tc>
      </w:tr>
      <w:tr w:rsidR="008F265F" w14:paraId="4C7CB842" w14:textId="77777777">
        <w:trPr>
          <w:jc w:val="center"/>
        </w:trPr>
        <w:tc>
          <w:tcPr>
            <w:tcW w:w="3114" w:type="dxa"/>
            <w:vAlign w:val="center"/>
          </w:tcPr>
          <w:p w14:paraId="0544CF4E" w14:textId="77777777" w:rsidR="008F265F" w:rsidRDefault="00A542E4">
            <w:pPr>
              <w:rPr>
                <w:rFonts w:ascii="宋体" w:hAnsi="宋体" w:cs="宋体"/>
                <w:kern w:val="0"/>
                <w:sz w:val="15"/>
                <w:szCs w:val="21"/>
              </w:rPr>
            </w:pPr>
            <w:r>
              <w:rPr>
                <w:rFonts w:ascii="宋体" w:hAnsi="宋体"/>
                <w:color w:val="000000"/>
                <w:sz w:val="15"/>
                <w:szCs w:val="21"/>
              </w:rPr>
              <w:t>23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语言能力丧失——</w:t>
            </w:r>
            <w:r w:rsidRPr="00FD5F2C">
              <w:rPr>
                <w:rFonts w:ascii="宋体" w:hAnsi="宋体" w:hint="eastAsia"/>
                <w:color w:val="000000"/>
                <w:sz w:val="15"/>
                <w:szCs w:val="21"/>
                <w:shd w:val="pct15" w:color="auto" w:fill="FFFFFF"/>
              </w:rPr>
              <w:t>三周岁后始理赔</w:t>
            </w:r>
          </w:p>
        </w:tc>
        <w:tc>
          <w:tcPr>
            <w:tcW w:w="2977" w:type="dxa"/>
            <w:vAlign w:val="center"/>
          </w:tcPr>
          <w:p w14:paraId="3BD18BCC" w14:textId="77777777" w:rsidR="008F265F" w:rsidRDefault="00A542E4">
            <w:pPr>
              <w:rPr>
                <w:rFonts w:ascii="宋体" w:hAnsi="宋体" w:cs="宋体"/>
                <w:kern w:val="0"/>
                <w:sz w:val="15"/>
                <w:szCs w:val="21"/>
              </w:rPr>
            </w:pPr>
            <w:r>
              <w:rPr>
                <w:rFonts w:ascii="宋体" w:hAnsi="宋体"/>
                <w:color w:val="000000"/>
                <w:sz w:val="15"/>
                <w:szCs w:val="21"/>
              </w:rPr>
              <w:t>69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肺泡蛋白沉积症</w:t>
            </w:r>
          </w:p>
        </w:tc>
        <w:tc>
          <w:tcPr>
            <w:tcW w:w="2971" w:type="dxa"/>
            <w:vAlign w:val="center"/>
          </w:tcPr>
          <w:p w14:paraId="70ECEE3E" w14:textId="77777777" w:rsidR="008F265F" w:rsidRDefault="00A542E4">
            <w:pPr>
              <w:rPr>
                <w:rFonts w:ascii="宋体" w:hAnsi="宋体" w:cs="宋体"/>
                <w:kern w:val="0"/>
                <w:sz w:val="15"/>
                <w:szCs w:val="21"/>
              </w:rPr>
            </w:pPr>
            <w:r>
              <w:rPr>
                <w:rFonts w:ascii="宋体" w:hAnsi="宋体"/>
                <w:color w:val="000000"/>
                <w:sz w:val="15"/>
                <w:szCs w:val="21"/>
              </w:rPr>
              <w:t>115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严重气性坏疽</w:t>
            </w:r>
          </w:p>
        </w:tc>
      </w:tr>
      <w:tr w:rsidR="008F265F" w14:paraId="41920C42" w14:textId="77777777">
        <w:trPr>
          <w:jc w:val="center"/>
        </w:trPr>
        <w:tc>
          <w:tcPr>
            <w:tcW w:w="3114" w:type="dxa"/>
            <w:vAlign w:val="center"/>
          </w:tcPr>
          <w:p w14:paraId="67B5A001" w14:textId="77777777" w:rsidR="008F265F" w:rsidRDefault="00A542E4">
            <w:pPr>
              <w:rPr>
                <w:rFonts w:ascii="宋体" w:hAnsi="宋体" w:cs="宋体"/>
                <w:kern w:val="0"/>
                <w:sz w:val="15"/>
                <w:szCs w:val="21"/>
              </w:rPr>
            </w:pPr>
            <w:r>
              <w:rPr>
                <w:rFonts w:ascii="宋体" w:hAnsi="宋体"/>
                <w:color w:val="000000"/>
                <w:sz w:val="15"/>
                <w:szCs w:val="21"/>
              </w:rPr>
              <w:t>24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重型再生障碍性贫血</w:t>
            </w:r>
          </w:p>
        </w:tc>
        <w:tc>
          <w:tcPr>
            <w:tcW w:w="2977" w:type="dxa"/>
            <w:vAlign w:val="center"/>
          </w:tcPr>
          <w:p w14:paraId="3DC83302" w14:textId="77777777" w:rsidR="008F265F" w:rsidRDefault="00A542E4">
            <w:pPr>
              <w:rPr>
                <w:rFonts w:ascii="宋体" w:hAnsi="宋体" w:cs="宋体"/>
                <w:kern w:val="0"/>
                <w:sz w:val="15"/>
                <w:szCs w:val="21"/>
              </w:rPr>
            </w:pPr>
            <w:r>
              <w:rPr>
                <w:rFonts w:ascii="宋体" w:hAnsi="宋体"/>
                <w:color w:val="000000"/>
                <w:sz w:val="15"/>
                <w:szCs w:val="21"/>
              </w:rPr>
              <w:t>70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严重慢性缩窄性心包炎</w:t>
            </w:r>
          </w:p>
        </w:tc>
        <w:tc>
          <w:tcPr>
            <w:tcW w:w="2971" w:type="dxa"/>
            <w:vAlign w:val="center"/>
          </w:tcPr>
          <w:p w14:paraId="4459BC1A" w14:textId="77777777" w:rsidR="008F265F" w:rsidRDefault="00A542E4">
            <w:pPr>
              <w:rPr>
                <w:rFonts w:ascii="宋体" w:hAnsi="宋体" w:cs="宋体"/>
                <w:kern w:val="0"/>
                <w:sz w:val="15"/>
                <w:szCs w:val="21"/>
              </w:rPr>
            </w:pPr>
            <w:r>
              <w:rPr>
                <w:rFonts w:ascii="宋体" w:hAnsi="宋体"/>
                <w:color w:val="000000"/>
                <w:sz w:val="15"/>
                <w:szCs w:val="21"/>
              </w:rPr>
              <w:t>116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脑桥中央髓鞘溶解症</w:t>
            </w:r>
          </w:p>
        </w:tc>
      </w:tr>
      <w:tr w:rsidR="008F265F" w14:paraId="26E4D418" w14:textId="77777777">
        <w:trPr>
          <w:jc w:val="center"/>
        </w:trPr>
        <w:tc>
          <w:tcPr>
            <w:tcW w:w="3114" w:type="dxa"/>
            <w:vAlign w:val="center"/>
          </w:tcPr>
          <w:p w14:paraId="1AED1F83" w14:textId="77777777" w:rsidR="008F265F" w:rsidRDefault="00A542E4">
            <w:pPr>
              <w:rPr>
                <w:rFonts w:ascii="宋体" w:hAnsi="宋体" w:cs="宋体"/>
                <w:kern w:val="0"/>
                <w:sz w:val="15"/>
                <w:szCs w:val="21"/>
              </w:rPr>
            </w:pPr>
            <w:r>
              <w:rPr>
                <w:rFonts w:ascii="宋体" w:hAnsi="宋体"/>
                <w:color w:val="000000"/>
                <w:sz w:val="15"/>
                <w:szCs w:val="21"/>
              </w:rPr>
              <w:t>25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主动脉手术</w:t>
            </w:r>
          </w:p>
        </w:tc>
        <w:tc>
          <w:tcPr>
            <w:tcW w:w="2977" w:type="dxa"/>
            <w:vAlign w:val="center"/>
          </w:tcPr>
          <w:p w14:paraId="15DEAEC6" w14:textId="77777777" w:rsidR="008F265F" w:rsidRDefault="00A542E4">
            <w:pPr>
              <w:rPr>
                <w:rFonts w:ascii="宋体" w:hAnsi="宋体" w:cs="宋体"/>
                <w:kern w:val="0"/>
                <w:sz w:val="15"/>
                <w:szCs w:val="21"/>
              </w:rPr>
            </w:pPr>
            <w:r>
              <w:rPr>
                <w:rFonts w:ascii="宋体" w:hAnsi="宋体"/>
                <w:color w:val="000000"/>
                <w:sz w:val="15"/>
                <w:szCs w:val="21"/>
              </w:rPr>
              <w:t>71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脑型疟疾</w:t>
            </w:r>
          </w:p>
        </w:tc>
        <w:tc>
          <w:tcPr>
            <w:tcW w:w="2971" w:type="dxa"/>
            <w:vAlign w:val="center"/>
          </w:tcPr>
          <w:p w14:paraId="1AE38EAA" w14:textId="77777777" w:rsidR="008F265F" w:rsidRDefault="00A542E4">
            <w:pPr>
              <w:rPr>
                <w:rFonts w:ascii="宋体" w:hAnsi="宋体" w:cs="宋体"/>
                <w:kern w:val="0"/>
                <w:sz w:val="15"/>
                <w:szCs w:val="21"/>
              </w:rPr>
            </w:pPr>
            <w:r>
              <w:rPr>
                <w:rFonts w:ascii="宋体" w:hAnsi="宋体"/>
                <w:color w:val="000000"/>
                <w:sz w:val="15"/>
                <w:szCs w:val="21"/>
              </w:rPr>
              <w:t>117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严重出血性登革热</w:t>
            </w:r>
          </w:p>
        </w:tc>
      </w:tr>
      <w:tr w:rsidR="008F265F" w14:paraId="648220B4" w14:textId="77777777">
        <w:trPr>
          <w:jc w:val="center"/>
        </w:trPr>
        <w:tc>
          <w:tcPr>
            <w:tcW w:w="3114" w:type="dxa"/>
            <w:vAlign w:val="center"/>
          </w:tcPr>
          <w:p w14:paraId="33A9695F" w14:textId="77777777" w:rsidR="008F265F" w:rsidRDefault="00A542E4">
            <w:pPr>
              <w:rPr>
                <w:rFonts w:ascii="宋体" w:hAnsi="宋体" w:cs="宋体"/>
                <w:kern w:val="0"/>
                <w:sz w:val="15"/>
                <w:szCs w:val="21"/>
              </w:rPr>
            </w:pPr>
            <w:r>
              <w:rPr>
                <w:rFonts w:ascii="宋体" w:hAnsi="宋体"/>
                <w:color w:val="000000"/>
                <w:sz w:val="15"/>
                <w:szCs w:val="21"/>
              </w:rPr>
              <w:t>26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严重慢性呼吸衰竭</w:t>
            </w:r>
          </w:p>
        </w:tc>
        <w:tc>
          <w:tcPr>
            <w:tcW w:w="2977" w:type="dxa"/>
            <w:vAlign w:val="center"/>
          </w:tcPr>
          <w:p w14:paraId="053C3463" w14:textId="77777777" w:rsidR="008F265F" w:rsidRDefault="00A542E4">
            <w:pPr>
              <w:rPr>
                <w:rFonts w:ascii="宋体" w:hAnsi="宋体" w:cs="宋体"/>
                <w:kern w:val="0"/>
                <w:sz w:val="15"/>
                <w:szCs w:val="21"/>
              </w:rPr>
            </w:pPr>
            <w:r>
              <w:rPr>
                <w:rFonts w:ascii="宋体" w:hAnsi="宋体"/>
                <w:color w:val="000000"/>
                <w:sz w:val="15"/>
                <w:szCs w:val="21"/>
              </w:rPr>
              <w:t>72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胆道重建手术</w:t>
            </w:r>
          </w:p>
        </w:tc>
        <w:tc>
          <w:tcPr>
            <w:tcW w:w="2971" w:type="dxa"/>
            <w:vAlign w:val="center"/>
          </w:tcPr>
          <w:p w14:paraId="71B26964" w14:textId="77777777" w:rsidR="008F265F" w:rsidRDefault="00A542E4">
            <w:pPr>
              <w:rPr>
                <w:rFonts w:ascii="宋体" w:hAnsi="宋体" w:cs="宋体"/>
                <w:kern w:val="0"/>
                <w:sz w:val="15"/>
                <w:szCs w:val="21"/>
              </w:rPr>
            </w:pPr>
            <w:r>
              <w:rPr>
                <w:rFonts w:ascii="宋体" w:hAnsi="宋体"/>
                <w:color w:val="000000"/>
                <w:sz w:val="15"/>
                <w:szCs w:val="21"/>
              </w:rPr>
              <w:t>118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多系统萎缩</w:t>
            </w:r>
          </w:p>
        </w:tc>
      </w:tr>
      <w:tr w:rsidR="008F265F" w14:paraId="762BE569" w14:textId="77777777">
        <w:trPr>
          <w:jc w:val="center"/>
        </w:trPr>
        <w:tc>
          <w:tcPr>
            <w:tcW w:w="3114" w:type="dxa"/>
            <w:vAlign w:val="center"/>
          </w:tcPr>
          <w:p w14:paraId="6F2D9180" w14:textId="77777777" w:rsidR="008F265F" w:rsidRDefault="00A542E4">
            <w:pPr>
              <w:rPr>
                <w:rFonts w:ascii="宋体" w:hAnsi="宋体" w:cs="宋体"/>
                <w:kern w:val="0"/>
                <w:sz w:val="15"/>
                <w:szCs w:val="21"/>
              </w:rPr>
            </w:pPr>
            <w:r>
              <w:rPr>
                <w:rFonts w:ascii="宋体" w:hAnsi="宋体"/>
                <w:color w:val="000000"/>
                <w:sz w:val="15"/>
                <w:szCs w:val="21"/>
              </w:rPr>
              <w:t>27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严重克罗恩病</w:t>
            </w:r>
          </w:p>
        </w:tc>
        <w:tc>
          <w:tcPr>
            <w:tcW w:w="2977" w:type="dxa"/>
            <w:vAlign w:val="center"/>
          </w:tcPr>
          <w:p w14:paraId="4233BBDC" w14:textId="77777777" w:rsidR="008F265F" w:rsidRDefault="00A542E4">
            <w:pPr>
              <w:rPr>
                <w:rFonts w:ascii="宋体" w:hAnsi="宋体" w:cs="宋体"/>
                <w:kern w:val="0"/>
                <w:sz w:val="15"/>
                <w:szCs w:val="21"/>
              </w:rPr>
            </w:pPr>
            <w:r>
              <w:rPr>
                <w:rFonts w:ascii="宋体" w:hAnsi="宋体"/>
                <w:color w:val="000000"/>
                <w:sz w:val="15"/>
                <w:szCs w:val="21"/>
              </w:rPr>
              <w:t>73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主动脉夹层瘤</w:t>
            </w:r>
          </w:p>
        </w:tc>
        <w:tc>
          <w:tcPr>
            <w:tcW w:w="2971" w:type="dxa"/>
            <w:vAlign w:val="center"/>
          </w:tcPr>
          <w:p w14:paraId="55BAB12D" w14:textId="77777777" w:rsidR="008F265F" w:rsidRDefault="00A542E4">
            <w:pPr>
              <w:rPr>
                <w:rFonts w:ascii="宋体" w:hAnsi="宋体" w:cs="宋体"/>
                <w:kern w:val="0"/>
                <w:sz w:val="15"/>
                <w:szCs w:val="21"/>
              </w:rPr>
            </w:pPr>
            <w:r>
              <w:rPr>
                <w:rFonts w:ascii="宋体" w:hAnsi="宋体"/>
                <w:color w:val="000000"/>
                <w:sz w:val="15"/>
                <w:szCs w:val="21"/>
              </w:rPr>
              <w:t>119</w:t>
            </w:r>
            <w:r>
              <w:rPr>
                <w:rFonts w:ascii="宋体" w:hAnsi="宋体" w:hint="eastAsia"/>
                <w:color w:val="000000"/>
                <w:sz w:val="15"/>
                <w:szCs w:val="21"/>
              </w:rPr>
              <w:t>、</w:t>
            </w:r>
            <w:r>
              <w:rPr>
                <w:rFonts w:ascii="宋体" w:hAnsi="宋体"/>
                <w:color w:val="000000"/>
                <w:sz w:val="15"/>
                <w:szCs w:val="21"/>
              </w:rPr>
              <w:t xml:space="preserve"> 严重</w:t>
            </w:r>
            <w:r>
              <w:rPr>
                <w:rFonts w:ascii="宋体" w:hAnsi="宋体" w:hint="eastAsia"/>
                <w:color w:val="000000"/>
                <w:sz w:val="15"/>
                <w:szCs w:val="21"/>
              </w:rPr>
              <w:t>破伤风</w:t>
            </w:r>
          </w:p>
        </w:tc>
      </w:tr>
      <w:tr w:rsidR="008F265F" w14:paraId="0389AAE3" w14:textId="77777777">
        <w:trPr>
          <w:jc w:val="center"/>
        </w:trPr>
        <w:tc>
          <w:tcPr>
            <w:tcW w:w="3114" w:type="dxa"/>
            <w:vAlign w:val="center"/>
          </w:tcPr>
          <w:p w14:paraId="0D0CD3BA" w14:textId="77777777" w:rsidR="008F265F" w:rsidRDefault="00A542E4">
            <w:pPr>
              <w:rPr>
                <w:rFonts w:ascii="宋体" w:hAnsi="宋体" w:cs="宋体"/>
                <w:kern w:val="0"/>
                <w:sz w:val="15"/>
                <w:szCs w:val="21"/>
              </w:rPr>
            </w:pPr>
            <w:r>
              <w:rPr>
                <w:rFonts w:ascii="宋体" w:hAnsi="宋体"/>
                <w:color w:val="000000"/>
                <w:sz w:val="15"/>
                <w:szCs w:val="21"/>
              </w:rPr>
              <w:t>28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严重溃疡性结肠炎</w:t>
            </w:r>
          </w:p>
        </w:tc>
        <w:tc>
          <w:tcPr>
            <w:tcW w:w="2977" w:type="dxa"/>
            <w:vAlign w:val="center"/>
          </w:tcPr>
          <w:p w14:paraId="40232D4F" w14:textId="77777777" w:rsidR="008F265F" w:rsidRDefault="00A542E4">
            <w:pPr>
              <w:rPr>
                <w:rFonts w:ascii="宋体" w:hAnsi="宋体" w:cs="宋体"/>
                <w:kern w:val="0"/>
                <w:sz w:val="15"/>
                <w:szCs w:val="21"/>
              </w:rPr>
            </w:pPr>
            <w:r>
              <w:rPr>
                <w:rFonts w:ascii="宋体" w:hAnsi="宋体"/>
                <w:color w:val="000000"/>
                <w:sz w:val="15"/>
                <w:szCs w:val="21"/>
              </w:rPr>
              <w:t>74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肌萎缩脊髓侧索硬化后遗症</w:t>
            </w:r>
          </w:p>
        </w:tc>
        <w:tc>
          <w:tcPr>
            <w:tcW w:w="2971" w:type="dxa"/>
            <w:vAlign w:val="center"/>
          </w:tcPr>
          <w:p w14:paraId="208E0605" w14:textId="77777777" w:rsidR="008F265F" w:rsidRDefault="00A542E4">
            <w:pPr>
              <w:rPr>
                <w:rFonts w:ascii="宋体" w:hAnsi="宋体" w:cs="宋体"/>
                <w:kern w:val="0"/>
                <w:sz w:val="15"/>
                <w:szCs w:val="21"/>
              </w:rPr>
            </w:pPr>
            <w:r>
              <w:rPr>
                <w:rFonts w:ascii="宋体" w:hAnsi="宋体"/>
                <w:color w:val="000000"/>
                <w:sz w:val="15"/>
                <w:szCs w:val="21"/>
              </w:rPr>
              <w:t>120</w:t>
            </w:r>
            <w:r>
              <w:rPr>
                <w:rFonts w:ascii="宋体" w:hAnsi="宋体" w:hint="eastAsia"/>
                <w:color w:val="000000"/>
                <w:sz w:val="15"/>
                <w:szCs w:val="21"/>
              </w:rPr>
              <w:t>、 严重Ⅲ度房室传导阻滞</w:t>
            </w:r>
          </w:p>
        </w:tc>
      </w:tr>
      <w:tr w:rsidR="008F265F" w14:paraId="0AE1D92A" w14:textId="77777777">
        <w:trPr>
          <w:jc w:val="center"/>
        </w:trPr>
        <w:tc>
          <w:tcPr>
            <w:tcW w:w="3114" w:type="dxa"/>
            <w:vAlign w:val="center"/>
          </w:tcPr>
          <w:p w14:paraId="536D7B5D" w14:textId="77777777" w:rsidR="008F265F" w:rsidRDefault="00A542E4">
            <w:pPr>
              <w:rPr>
                <w:rFonts w:ascii="宋体" w:hAnsi="宋体" w:cs="宋体"/>
                <w:kern w:val="0"/>
                <w:sz w:val="15"/>
                <w:szCs w:val="21"/>
              </w:rPr>
            </w:pPr>
            <w:r>
              <w:rPr>
                <w:rFonts w:ascii="宋体" w:hAnsi="宋体"/>
                <w:color w:val="000000"/>
                <w:sz w:val="15"/>
                <w:szCs w:val="21"/>
              </w:rPr>
              <w:t>29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胰腺移植术</w:t>
            </w:r>
          </w:p>
        </w:tc>
        <w:tc>
          <w:tcPr>
            <w:tcW w:w="2977" w:type="dxa"/>
            <w:vAlign w:val="center"/>
          </w:tcPr>
          <w:p w14:paraId="2A2281C4" w14:textId="77777777" w:rsidR="008F265F" w:rsidRDefault="00A542E4">
            <w:pPr>
              <w:rPr>
                <w:rFonts w:ascii="宋体" w:hAnsi="宋体" w:cs="宋体"/>
                <w:kern w:val="0"/>
                <w:sz w:val="15"/>
                <w:szCs w:val="21"/>
              </w:rPr>
            </w:pPr>
            <w:r>
              <w:rPr>
                <w:rFonts w:ascii="宋体" w:hAnsi="宋体" w:cs="宋体"/>
                <w:kern w:val="0"/>
                <w:sz w:val="15"/>
                <w:szCs w:val="21"/>
              </w:rPr>
              <w:t xml:space="preserve">75、 </w:t>
            </w:r>
            <w:r>
              <w:rPr>
                <w:rFonts w:ascii="宋体" w:hAnsi="宋体" w:cs="宋体" w:hint="eastAsia"/>
                <w:kern w:val="0"/>
                <w:sz w:val="15"/>
                <w:szCs w:val="21"/>
              </w:rPr>
              <w:t>严重结核性脑膜炎</w:t>
            </w:r>
          </w:p>
        </w:tc>
        <w:tc>
          <w:tcPr>
            <w:tcW w:w="2971" w:type="dxa"/>
            <w:vAlign w:val="center"/>
          </w:tcPr>
          <w:p w14:paraId="08D91406" w14:textId="77777777" w:rsidR="008F265F" w:rsidRDefault="00A542E4">
            <w:pPr>
              <w:rPr>
                <w:rFonts w:ascii="宋体" w:hAnsi="宋体" w:cs="宋体"/>
                <w:kern w:val="0"/>
                <w:sz w:val="15"/>
                <w:szCs w:val="21"/>
              </w:rPr>
            </w:pPr>
            <w:r>
              <w:rPr>
                <w:rFonts w:ascii="宋体" w:hAnsi="宋体"/>
                <w:color w:val="000000"/>
                <w:sz w:val="15"/>
                <w:szCs w:val="21"/>
              </w:rPr>
              <w:t>121</w:t>
            </w:r>
            <w:r>
              <w:rPr>
                <w:rFonts w:ascii="宋体" w:hAnsi="宋体" w:hint="eastAsia"/>
                <w:color w:val="000000"/>
                <w:sz w:val="15"/>
                <w:szCs w:val="21"/>
              </w:rPr>
              <w:t>、 严重癫痫</w:t>
            </w:r>
          </w:p>
        </w:tc>
      </w:tr>
      <w:tr w:rsidR="008F265F" w14:paraId="1E3662B7" w14:textId="77777777">
        <w:trPr>
          <w:jc w:val="center"/>
        </w:trPr>
        <w:tc>
          <w:tcPr>
            <w:tcW w:w="3114" w:type="dxa"/>
            <w:vAlign w:val="center"/>
          </w:tcPr>
          <w:p w14:paraId="1554CF77" w14:textId="77777777" w:rsidR="008F265F" w:rsidRDefault="00A542E4">
            <w:pPr>
              <w:rPr>
                <w:rFonts w:ascii="宋体" w:hAnsi="宋体" w:cs="宋体"/>
                <w:kern w:val="0"/>
                <w:sz w:val="15"/>
                <w:szCs w:val="21"/>
              </w:rPr>
            </w:pPr>
            <w:r>
              <w:rPr>
                <w:rFonts w:ascii="宋体" w:hAnsi="宋体"/>
                <w:color w:val="000000"/>
                <w:sz w:val="15"/>
                <w:szCs w:val="21"/>
              </w:rPr>
              <w:t>30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埃博拉出血热</w:t>
            </w:r>
          </w:p>
        </w:tc>
        <w:tc>
          <w:tcPr>
            <w:tcW w:w="2977" w:type="dxa"/>
            <w:vAlign w:val="center"/>
          </w:tcPr>
          <w:p w14:paraId="71A7CC56" w14:textId="77777777" w:rsidR="008F265F" w:rsidRDefault="00A542E4">
            <w:pPr>
              <w:rPr>
                <w:rFonts w:ascii="宋体" w:hAnsi="宋体" w:cs="宋体"/>
                <w:kern w:val="0"/>
                <w:sz w:val="15"/>
                <w:szCs w:val="21"/>
              </w:rPr>
            </w:pPr>
            <w:r>
              <w:rPr>
                <w:rFonts w:ascii="宋体" w:hAnsi="宋体" w:cs="宋体"/>
                <w:kern w:val="0"/>
                <w:sz w:val="15"/>
                <w:szCs w:val="21"/>
              </w:rPr>
              <w:t>76</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严重小肠损害并发症</w:t>
            </w:r>
          </w:p>
        </w:tc>
        <w:tc>
          <w:tcPr>
            <w:tcW w:w="2971" w:type="dxa"/>
            <w:vAlign w:val="center"/>
          </w:tcPr>
          <w:p w14:paraId="4D5703B7" w14:textId="77777777" w:rsidR="008F265F" w:rsidRDefault="00A542E4">
            <w:pPr>
              <w:rPr>
                <w:rFonts w:ascii="宋体" w:hAnsi="宋体" w:cs="宋体"/>
                <w:kern w:val="0"/>
                <w:sz w:val="15"/>
                <w:szCs w:val="21"/>
              </w:rPr>
            </w:pPr>
            <w:r>
              <w:rPr>
                <w:rFonts w:ascii="宋体" w:hAnsi="宋体"/>
                <w:color w:val="000000"/>
                <w:sz w:val="15"/>
                <w:szCs w:val="21"/>
              </w:rPr>
              <w:t>122</w:t>
            </w:r>
            <w:r>
              <w:rPr>
                <w:rFonts w:ascii="宋体" w:hAnsi="宋体" w:hint="eastAsia"/>
                <w:color w:val="000000"/>
                <w:sz w:val="15"/>
                <w:szCs w:val="21"/>
              </w:rPr>
              <w:t>、 严重脊髓血管病后遗症</w:t>
            </w:r>
          </w:p>
        </w:tc>
      </w:tr>
      <w:tr w:rsidR="008F265F" w14:paraId="0ABF0F37" w14:textId="77777777">
        <w:trPr>
          <w:jc w:val="center"/>
        </w:trPr>
        <w:tc>
          <w:tcPr>
            <w:tcW w:w="3114" w:type="dxa"/>
            <w:vAlign w:val="center"/>
          </w:tcPr>
          <w:p w14:paraId="2775DB27" w14:textId="77777777" w:rsidR="008F265F" w:rsidRDefault="00A542E4">
            <w:pPr>
              <w:rPr>
                <w:rFonts w:ascii="宋体" w:hAnsi="宋体" w:cs="宋体"/>
                <w:kern w:val="0"/>
                <w:sz w:val="15"/>
                <w:szCs w:val="21"/>
              </w:rPr>
            </w:pPr>
            <w:r>
              <w:rPr>
                <w:rFonts w:ascii="宋体" w:hAnsi="宋体"/>
                <w:color w:val="000000"/>
                <w:sz w:val="15"/>
                <w:szCs w:val="21"/>
              </w:rPr>
              <w:t>31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丝虫感染所致严重象皮病</w:t>
            </w:r>
          </w:p>
        </w:tc>
        <w:tc>
          <w:tcPr>
            <w:tcW w:w="2977" w:type="dxa"/>
            <w:vAlign w:val="center"/>
          </w:tcPr>
          <w:p w14:paraId="6F652462" w14:textId="77777777" w:rsidR="008F265F" w:rsidRDefault="00A542E4">
            <w:pPr>
              <w:rPr>
                <w:rFonts w:ascii="宋体" w:hAnsi="宋体" w:cs="宋体"/>
                <w:kern w:val="0"/>
                <w:sz w:val="15"/>
                <w:szCs w:val="21"/>
              </w:rPr>
            </w:pPr>
            <w:r>
              <w:rPr>
                <w:rFonts w:ascii="宋体" w:hAnsi="宋体" w:cs="宋体"/>
                <w:kern w:val="0"/>
                <w:sz w:val="15"/>
                <w:szCs w:val="21"/>
              </w:rPr>
              <w:t>77</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严重瑞氏综合征（Reye综合征）</w:t>
            </w:r>
          </w:p>
        </w:tc>
        <w:tc>
          <w:tcPr>
            <w:tcW w:w="2971" w:type="dxa"/>
            <w:vAlign w:val="center"/>
          </w:tcPr>
          <w:p w14:paraId="1631ACCE" w14:textId="77777777" w:rsidR="008F265F" w:rsidRDefault="00A542E4">
            <w:pPr>
              <w:rPr>
                <w:rFonts w:ascii="宋体" w:hAnsi="宋体" w:cs="宋体"/>
                <w:kern w:val="0"/>
                <w:sz w:val="15"/>
                <w:szCs w:val="21"/>
              </w:rPr>
            </w:pPr>
            <w:r>
              <w:rPr>
                <w:rFonts w:ascii="宋体" w:hAnsi="宋体"/>
                <w:color w:val="000000"/>
                <w:sz w:val="15"/>
                <w:szCs w:val="21"/>
              </w:rPr>
              <w:t>123</w:t>
            </w:r>
            <w:r>
              <w:rPr>
                <w:rFonts w:ascii="宋体" w:hAnsi="宋体" w:hint="eastAsia"/>
                <w:color w:val="000000"/>
                <w:sz w:val="15"/>
                <w:szCs w:val="21"/>
              </w:rPr>
              <w:t>、 肺孢子菌肺炎</w:t>
            </w:r>
          </w:p>
        </w:tc>
      </w:tr>
      <w:tr w:rsidR="008F265F" w14:paraId="069B4671" w14:textId="77777777">
        <w:trPr>
          <w:jc w:val="center"/>
        </w:trPr>
        <w:tc>
          <w:tcPr>
            <w:tcW w:w="3114" w:type="dxa"/>
            <w:vAlign w:val="center"/>
          </w:tcPr>
          <w:p w14:paraId="5EB7632E" w14:textId="77777777" w:rsidR="008F265F" w:rsidRDefault="00A542E4">
            <w:pPr>
              <w:rPr>
                <w:rFonts w:ascii="宋体" w:hAnsi="宋体" w:cs="宋体"/>
                <w:kern w:val="0"/>
                <w:sz w:val="15"/>
                <w:szCs w:val="21"/>
              </w:rPr>
            </w:pPr>
            <w:r>
              <w:rPr>
                <w:rFonts w:ascii="宋体" w:hAnsi="宋体"/>
                <w:color w:val="000000"/>
                <w:sz w:val="15"/>
                <w:szCs w:val="21"/>
              </w:rPr>
              <w:t>32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主动脉夹层血肿</w:t>
            </w:r>
          </w:p>
        </w:tc>
        <w:tc>
          <w:tcPr>
            <w:tcW w:w="2977" w:type="dxa"/>
            <w:vAlign w:val="center"/>
          </w:tcPr>
          <w:p w14:paraId="3C64D060" w14:textId="77777777" w:rsidR="008F265F" w:rsidRDefault="00A542E4">
            <w:pPr>
              <w:rPr>
                <w:rFonts w:ascii="宋体" w:hAnsi="宋体" w:cs="宋体"/>
                <w:kern w:val="0"/>
                <w:sz w:val="15"/>
                <w:szCs w:val="21"/>
              </w:rPr>
            </w:pPr>
            <w:r>
              <w:rPr>
                <w:rFonts w:ascii="宋体" w:hAnsi="宋体" w:cs="宋体"/>
                <w:kern w:val="0"/>
                <w:sz w:val="15"/>
                <w:szCs w:val="21"/>
              </w:rPr>
              <w:t>78</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严重骨髓异常增生综合征</w:t>
            </w:r>
          </w:p>
        </w:tc>
        <w:tc>
          <w:tcPr>
            <w:tcW w:w="2971" w:type="dxa"/>
            <w:vAlign w:val="center"/>
          </w:tcPr>
          <w:p w14:paraId="029AC59A"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24</w:t>
            </w:r>
            <w:r>
              <w:rPr>
                <w:rFonts w:ascii="宋体" w:hAnsi="宋体" w:hint="eastAsia"/>
                <w:color w:val="000000"/>
                <w:sz w:val="15"/>
                <w:szCs w:val="21"/>
              </w:rPr>
              <w:t>、 严重肺结节病</w:t>
            </w:r>
          </w:p>
        </w:tc>
      </w:tr>
      <w:tr w:rsidR="008F265F" w14:paraId="63199574" w14:textId="77777777">
        <w:trPr>
          <w:jc w:val="center"/>
        </w:trPr>
        <w:tc>
          <w:tcPr>
            <w:tcW w:w="3114" w:type="dxa"/>
            <w:vAlign w:val="center"/>
          </w:tcPr>
          <w:p w14:paraId="0DEA17F3" w14:textId="77777777" w:rsidR="008F265F" w:rsidRDefault="00A542E4">
            <w:pPr>
              <w:rPr>
                <w:rFonts w:ascii="宋体" w:hAnsi="宋体" w:cs="宋体"/>
                <w:kern w:val="0"/>
                <w:sz w:val="15"/>
                <w:szCs w:val="21"/>
              </w:rPr>
            </w:pPr>
            <w:r>
              <w:rPr>
                <w:rFonts w:ascii="宋体" w:hAnsi="宋体"/>
                <w:color w:val="000000"/>
                <w:sz w:val="15"/>
                <w:szCs w:val="21"/>
              </w:rPr>
              <w:t>33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克雅氏病</w:t>
            </w:r>
          </w:p>
        </w:tc>
        <w:tc>
          <w:tcPr>
            <w:tcW w:w="2977" w:type="dxa"/>
            <w:vAlign w:val="center"/>
          </w:tcPr>
          <w:p w14:paraId="68A586E7" w14:textId="77777777" w:rsidR="008F265F" w:rsidRDefault="00A542E4">
            <w:pPr>
              <w:rPr>
                <w:rFonts w:ascii="宋体" w:hAnsi="宋体" w:cs="宋体"/>
                <w:kern w:val="0"/>
                <w:sz w:val="15"/>
                <w:szCs w:val="21"/>
              </w:rPr>
            </w:pPr>
            <w:r>
              <w:rPr>
                <w:rFonts w:ascii="宋体" w:hAnsi="宋体" w:cs="宋体"/>
                <w:kern w:val="0"/>
                <w:sz w:val="15"/>
                <w:szCs w:val="21"/>
              </w:rPr>
              <w:t>79</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严重面部烧伤</w:t>
            </w:r>
          </w:p>
        </w:tc>
        <w:tc>
          <w:tcPr>
            <w:tcW w:w="2971" w:type="dxa"/>
            <w:vAlign w:val="center"/>
          </w:tcPr>
          <w:p w14:paraId="3135415F" w14:textId="77777777" w:rsidR="008F265F" w:rsidRDefault="00A542E4">
            <w:pPr>
              <w:rPr>
                <w:rFonts w:ascii="宋体" w:hAnsi="宋体" w:cs="宋体"/>
                <w:kern w:val="0"/>
                <w:sz w:val="15"/>
                <w:szCs w:val="21"/>
              </w:rPr>
            </w:pPr>
            <w:r>
              <w:rPr>
                <w:rFonts w:ascii="宋体" w:hAnsi="宋体"/>
                <w:color w:val="000000"/>
                <w:sz w:val="15"/>
                <w:szCs w:val="21"/>
              </w:rPr>
              <w:t>125</w:t>
            </w:r>
            <w:r>
              <w:rPr>
                <w:rFonts w:ascii="宋体" w:hAnsi="宋体" w:hint="eastAsia"/>
                <w:color w:val="000000"/>
                <w:sz w:val="15"/>
                <w:szCs w:val="21"/>
              </w:rPr>
              <w:t>、 结核性脊髓炎</w:t>
            </w:r>
          </w:p>
        </w:tc>
      </w:tr>
      <w:tr w:rsidR="008F265F" w14:paraId="130944F3" w14:textId="77777777">
        <w:trPr>
          <w:jc w:val="center"/>
        </w:trPr>
        <w:tc>
          <w:tcPr>
            <w:tcW w:w="3114" w:type="dxa"/>
            <w:vAlign w:val="center"/>
          </w:tcPr>
          <w:p w14:paraId="678768F7" w14:textId="77777777" w:rsidR="008F265F" w:rsidRDefault="00A542E4">
            <w:pPr>
              <w:rPr>
                <w:rFonts w:ascii="宋体" w:hAnsi="宋体" w:cs="宋体"/>
                <w:kern w:val="0"/>
                <w:sz w:val="15"/>
                <w:szCs w:val="21"/>
              </w:rPr>
            </w:pPr>
            <w:r>
              <w:rPr>
                <w:rFonts w:ascii="宋体" w:hAnsi="宋体"/>
                <w:color w:val="000000"/>
                <w:sz w:val="15"/>
                <w:szCs w:val="21"/>
              </w:rPr>
              <w:t>34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破裂脑动脉瘤开颅夹闭手术</w:t>
            </w:r>
          </w:p>
        </w:tc>
        <w:tc>
          <w:tcPr>
            <w:tcW w:w="2977" w:type="dxa"/>
            <w:vAlign w:val="center"/>
          </w:tcPr>
          <w:p w14:paraId="50D2C62A" w14:textId="77777777" w:rsidR="008F265F" w:rsidRDefault="00A542E4">
            <w:pPr>
              <w:rPr>
                <w:rFonts w:ascii="宋体" w:hAnsi="宋体" w:cs="宋体"/>
                <w:kern w:val="0"/>
                <w:sz w:val="15"/>
                <w:szCs w:val="21"/>
              </w:rPr>
            </w:pPr>
            <w:r>
              <w:rPr>
                <w:rFonts w:ascii="宋体" w:hAnsi="宋体" w:cs="宋体"/>
                <w:kern w:val="0"/>
                <w:sz w:val="15"/>
                <w:szCs w:val="21"/>
              </w:rPr>
              <w:t>80</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严重川崎病</w:t>
            </w:r>
          </w:p>
        </w:tc>
        <w:tc>
          <w:tcPr>
            <w:tcW w:w="2971" w:type="dxa"/>
            <w:vAlign w:val="center"/>
          </w:tcPr>
          <w:p w14:paraId="41090B74" w14:textId="77777777" w:rsidR="008F265F" w:rsidRDefault="00A542E4">
            <w:pPr>
              <w:rPr>
                <w:rFonts w:ascii="宋体" w:hAnsi="宋体" w:cs="宋体"/>
                <w:kern w:val="0"/>
                <w:sz w:val="15"/>
                <w:szCs w:val="21"/>
              </w:rPr>
            </w:pPr>
            <w:r>
              <w:rPr>
                <w:rFonts w:ascii="宋体" w:hAnsi="宋体"/>
                <w:color w:val="000000"/>
                <w:sz w:val="15"/>
                <w:szCs w:val="21"/>
              </w:rPr>
              <w:t>126</w:t>
            </w:r>
            <w:r>
              <w:rPr>
                <w:rFonts w:ascii="宋体" w:hAnsi="宋体" w:hint="eastAsia"/>
                <w:color w:val="000000"/>
                <w:sz w:val="15"/>
                <w:szCs w:val="21"/>
              </w:rPr>
              <w:t>、 脊髓灰质炎导致的瘫痪</w:t>
            </w:r>
          </w:p>
        </w:tc>
      </w:tr>
      <w:tr w:rsidR="008F265F" w14:paraId="380856B1" w14:textId="77777777">
        <w:trPr>
          <w:jc w:val="center"/>
        </w:trPr>
        <w:tc>
          <w:tcPr>
            <w:tcW w:w="3114" w:type="dxa"/>
            <w:vAlign w:val="center"/>
          </w:tcPr>
          <w:p w14:paraId="65A6CFA7" w14:textId="77777777" w:rsidR="008F265F" w:rsidRDefault="00A542E4">
            <w:pPr>
              <w:rPr>
                <w:rFonts w:ascii="宋体" w:hAnsi="宋体" w:cs="宋体"/>
                <w:kern w:val="0"/>
                <w:sz w:val="15"/>
                <w:szCs w:val="21"/>
              </w:rPr>
            </w:pPr>
            <w:r>
              <w:rPr>
                <w:rFonts w:ascii="宋体" w:hAnsi="宋体"/>
                <w:color w:val="000000"/>
                <w:sz w:val="15"/>
                <w:szCs w:val="21"/>
              </w:rPr>
              <w:t>35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经输血导致的</w:t>
            </w:r>
            <w:r>
              <w:rPr>
                <w:rFonts w:ascii="宋体" w:hAnsi="宋体"/>
                <w:color w:val="000000"/>
                <w:sz w:val="15"/>
                <w:szCs w:val="21"/>
              </w:rPr>
              <w:t>HIV</w:t>
            </w:r>
            <w:r>
              <w:rPr>
                <w:rFonts w:ascii="宋体" w:hAnsi="宋体" w:hint="eastAsia"/>
                <w:color w:val="000000"/>
                <w:sz w:val="15"/>
                <w:szCs w:val="21"/>
              </w:rPr>
              <w:t>感染</w:t>
            </w:r>
          </w:p>
        </w:tc>
        <w:tc>
          <w:tcPr>
            <w:tcW w:w="2977" w:type="dxa"/>
            <w:vAlign w:val="center"/>
          </w:tcPr>
          <w:p w14:paraId="4B792E68" w14:textId="77777777" w:rsidR="008F265F" w:rsidRDefault="00A542E4">
            <w:pPr>
              <w:rPr>
                <w:rFonts w:ascii="宋体" w:hAnsi="宋体" w:cs="宋体"/>
                <w:kern w:val="0"/>
                <w:sz w:val="15"/>
                <w:szCs w:val="21"/>
              </w:rPr>
            </w:pPr>
            <w:r>
              <w:rPr>
                <w:rFonts w:ascii="宋体" w:hAnsi="宋体" w:cs="宋体"/>
                <w:kern w:val="0"/>
                <w:sz w:val="15"/>
                <w:szCs w:val="21"/>
              </w:rPr>
              <w:t>81</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重症手足口病</w:t>
            </w:r>
          </w:p>
        </w:tc>
        <w:tc>
          <w:tcPr>
            <w:tcW w:w="2971" w:type="dxa"/>
            <w:vAlign w:val="center"/>
          </w:tcPr>
          <w:p w14:paraId="02F62579"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27</w:t>
            </w:r>
            <w:r>
              <w:rPr>
                <w:rFonts w:ascii="宋体" w:hAnsi="宋体" w:hint="eastAsia"/>
                <w:color w:val="000000"/>
                <w:sz w:val="15"/>
                <w:szCs w:val="21"/>
              </w:rPr>
              <w:t>、 脊髓内肿瘤</w:t>
            </w:r>
          </w:p>
        </w:tc>
      </w:tr>
      <w:tr w:rsidR="008F265F" w14:paraId="7D9403D2" w14:textId="77777777">
        <w:trPr>
          <w:jc w:val="center"/>
        </w:trPr>
        <w:tc>
          <w:tcPr>
            <w:tcW w:w="3114" w:type="dxa"/>
            <w:vAlign w:val="center"/>
          </w:tcPr>
          <w:p w14:paraId="32F2A5F0" w14:textId="77777777" w:rsidR="008F265F" w:rsidRDefault="00A542E4">
            <w:pPr>
              <w:rPr>
                <w:rFonts w:ascii="宋体" w:hAnsi="宋体" w:cs="宋体"/>
                <w:kern w:val="0"/>
                <w:sz w:val="15"/>
                <w:szCs w:val="21"/>
              </w:rPr>
            </w:pPr>
            <w:r>
              <w:rPr>
                <w:rFonts w:ascii="宋体" w:hAnsi="宋体" w:cs="宋体"/>
                <w:kern w:val="0"/>
                <w:sz w:val="15"/>
                <w:szCs w:val="21"/>
              </w:rPr>
              <w:t xml:space="preserve">36、 </w:t>
            </w:r>
            <w:r>
              <w:rPr>
                <w:rFonts w:ascii="宋体" w:hAnsi="宋体" w:cs="宋体" w:hint="eastAsia"/>
                <w:kern w:val="0"/>
                <w:sz w:val="15"/>
                <w:szCs w:val="21"/>
              </w:rPr>
              <w:t>原发性硬化性胆管炎</w:t>
            </w:r>
          </w:p>
        </w:tc>
        <w:tc>
          <w:tcPr>
            <w:tcW w:w="2977" w:type="dxa"/>
            <w:vAlign w:val="center"/>
          </w:tcPr>
          <w:p w14:paraId="21D4A64E" w14:textId="77777777" w:rsidR="008F265F" w:rsidRDefault="00A542E4">
            <w:pPr>
              <w:rPr>
                <w:rFonts w:ascii="宋体" w:hAnsi="宋体" w:cs="宋体"/>
                <w:kern w:val="0"/>
                <w:sz w:val="15"/>
                <w:szCs w:val="21"/>
              </w:rPr>
            </w:pPr>
            <w:r>
              <w:rPr>
                <w:rFonts w:ascii="宋体" w:hAnsi="宋体" w:cs="宋体"/>
                <w:kern w:val="0"/>
                <w:sz w:val="15"/>
                <w:szCs w:val="21"/>
              </w:rPr>
              <w:t>82</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严重哮喘</w:t>
            </w:r>
          </w:p>
        </w:tc>
        <w:tc>
          <w:tcPr>
            <w:tcW w:w="2971" w:type="dxa"/>
            <w:vAlign w:val="center"/>
          </w:tcPr>
          <w:p w14:paraId="75FCC810"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28</w:t>
            </w:r>
            <w:r>
              <w:rPr>
                <w:rFonts w:ascii="宋体" w:hAnsi="宋体" w:hint="eastAsia"/>
                <w:color w:val="000000"/>
                <w:sz w:val="15"/>
                <w:szCs w:val="21"/>
              </w:rPr>
              <w:t>、 阵发性睡眠性血红蛋白尿——</w:t>
            </w:r>
            <w:r w:rsidRPr="00FD5F2C">
              <w:rPr>
                <w:rFonts w:ascii="宋体" w:hAnsi="宋体" w:hint="eastAsia"/>
                <w:color w:val="000000"/>
                <w:sz w:val="15"/>
                <w:szCs w:val="21"/>
                <w:shd w:val="pct15" w:color="auto" w:fill="FFFFFF"/>
              </w:rPr>
              <w:t>二十二周岁前理赔</w:t>
            </w:r>
          </w:p>
        </w:tc>
      </w:tr>
      <w:tr w:rsidR="008F265F" w14:paraId="4677ABE0" w14:textId="77777777">
        <w:trPr>
          <w:jc w:val="center"/>
        </w:trPr>
        <w:tc>
          <w:tcPr>
            <w:tcW w:w="3114" w:type="dxa"/>
            <w:vAlign w:val="center"/>
          </w:tcPr>
          <w:p w14:paraId="326392CA" w14:textId="77777777" w:rsidR="008F265F" w:rsidRDefault="00A542E4">
            <w:pPr>
              <w:rPr>
                <w:rFonts w:ascii="宋体" w:hAnsi="宋体" w:cs="宋体"/>
                <w:kern w:val="0"/>
                <w:sz w:val="15"/>
                <w:szCs w:val="21"/>
              </w:rPr>
            </w:pPr>
            <w:r>
              <w:rPr>
                <w:rFonts w:ascii="宋体" w:hAnsi="宋体" w:cs="宋体"/>
                <w:kern w:val="0"/>
                <w:sz w:val="15"/>
                <w:szCs w:val="21"/>
              </w:rPr>
              <w:t xml:space="preserve">37、 </w:t>
            </w:r>
            <w:r>
              <w:rPr>
                <w:rFonts w:ascii="宋体" w:hAnsi="宋体" w:cs="宋体" w:hint="eastAsia"/>
                <w:kern w:val="0"/>
                <w:sz w:val="15"/>
                <w:szCs w:val="21"/>
              </w:rPr>
              <w:t>特发性慢性肾上腺皮质功能减退</w:t>
            </w:r>
          </w:p>
        </w:tc>
        <w:tc>
          <w:tcPr>
            <w:tcW w:w="2977" w:type="dxa"/>
            <w:vAlign w:val="center"/>
          </w:tcPr>
          <w:p w14:paraId="310320D5" w14:textId="77777777" w:rsidR="008F265F" w:rsidRDefault="00A542E4">
            <w:pPr>
              <w:rPr>
                <w:rFonts w:ascii="宋体" w:hAnsi="宋体" w:cs="宋体"/>
                <w:kern w:val="0"/>
                <w:sz w:val="15"/>
                <w:szCs w:val="21"/>
              </w:rPr>
            </w:pPr>
            <w:r>
              <w:rPr>
                <w:rFonts w:ascii="宋体" w:hAnsi="宋体" w:cs="宋体"/>
                <w:kern w:val="0"/>
                <w:sz w:val="15"/>
                <w:szCs w:val="21"/>
              </w:rPr>
              <w:t>83</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骨生长不全症</w:t>
            </w:r>
          </w:p>
        </w:tc>
        <w:tc>
          <w:tcPr>
            <w:tcW w:w="2971" w:type="dxa"/>
            <w:vAlign w:val="center"/>
          </w:tcPr>
          <w:p w14:paraId="600F4FDD" w14:textId="77777777" w:rsidR="008F265F" w:rsidRDefault="00A542E4">
            <w:pPr>
              <w:rPr>
                <w:rFonts w:ascii="宋体" w:hAnsi="宋体" w:cs="宋体"/>
                <w:kern w:val="0"/>
                <w:sz w:val="15"/>
                <w:szCs w:val="21"/>
              </w:rPr>
            </w:pPr>
            <w:r>
              <w:rPr>
                <w:rFonts w:ascii="宋体" w:hAnsi="宋体"/>
                <w:color w:val="000000"/>
                <w:sz w:val="15"/>
                <w:szCs w:val="21"/>
              </w:rPr>
              <w:t>129</w:t>
            </w:r>
            <w:r>
              <w:rPr>
                <w:rFonts w:ascii="宋体" w:hAnsi="宋体" w:hint="eastAsia"/>
                <w:color w:val="000000"/>
                <w:sz w:val="15"/>
                <w:szCs w:val="21"/>
              </w:rPr>
              <w:t>、 黑斑息肉综合征</w:t>
            </w:r>
          </w:p>
        </w:tc>
      </w:tr>
      <w:tr w:rsidR="008F265F" w14:paraId="042C2D63" w14:textId="77777777">
        <w:trPr>
          <w:trHeight w:val="460"/>
          <w:jc w:val="center"/>
        </w:trPr>
        <w:tc>
          <w:tcPr>
            <w:tcW w:w="3114" w:type="dxa"/>
            <w:vAlign w:val="center"/>
          </w:tcPr>
          <w:p w14:paraId="78097B00" w14:textId="77777777" w:rsidR="008F265F" w:rsidRDefault="00A542E4">
            <w:pPr>
              <w:rPr>
                <w:rFonts w:ascii="宋体" w:hAnsi="宋体" w:cs="宋体"/>
                <w:kern w:val="0"/>
                <w:sz w:val="15"/>
                <w:szCs w:val="21"/>
              </w:rPr>
            </w:pPr>
            <w:r>
              <w:rPr>
                <w:rFonts w:ascii="宋体" w:hAnsi="宋体" w:cs="宋体"/>
                <w:kern w:val="0"/>
                <w:sz w:val="15"/>
                <w:szCs w:val="21"/>
              </w:rPr>
              <w:t xml:space="preserve">38、 </w:t>
            </w:r>
            <w:r>
              <w:rPr>
                <w:rFonts w:ascii="宋体" w:hAnsi="宋体" w:cs="宋体" w:hint="eastAsia"/>
                <w:kern w:val="0"/>
                <w:sz w:val="15"/>
                <w:szCs w:val="21"/>
              </w:rPr>
              <w:t xml:space="preserve">系统性红斑狼疮 </w:t>
            </w:r>
            <w:r>
              <w:rPr>
                <w:rFonts w:ascii="宋体" w:eastAsiaTheme="minorEastAsia" w:hAnsi="宋体" w:hint="eastAsia"/>
                <w:color w:val="000000"/>
                <w:sz w:val="20"/>
                <w:szCs w:val="20"/>
              </w:rPr>
              <w:t>－</w:t>
            </w:r>
            <w:r>
              <w:rPr>
                <w:rFonts w:ascii="宋体" w:hAnsi="宋体" w:cs="宋体" w:hint="eastAsia"/>
                <w:kern w:val="0"/>
                <w:sz w:val="15"/>
                <w:szCs w:val="21"/>
              </w:rPr>
              <w:t>（并发）</w:t>
            </w:r>
            <w:r>
              <w:rPr>
                <w:rFonts w:ascii="宋体" w:hAnsi="宋体" w:hint="eastAsia"/>
                <w:kern w:val="0"/>
                <w:sz w:val="15"/>
                <w:szCs w:val="21"/>
              </w:rPr>
              <w:t>Ⅲ</w:t>
            </w:r>
            <w:r>
              <w:rPr>
                <w:rFonts w:ascii="宋体" w:hAnsi="宋体" w:cs="宋体" w:hint="eastAsia"/>
                <w:kern w:val="0"/>
                <w:sz w:val="15"/>
                <w:szCs w:val="21"/>
              </w:rPr>
              <w:t>型或以上狼疮性肾炎</w:t>
            </w:r>
          </w:p>
        </w:tc>
        <w:tc>
          <w:tcPr>
            <w:tcW w:w="2977" w:type="dxa"/>
            <w:vAlign w:val="center"/>
          </w:tcPr>
          <w:p w14:paraId="1EC0ABE8" w14:textId="77777777" w:rsidR="008F265F" w:rsidRDefault="00A542E4">
            <w:pPr>
              <w:rPr>
                <w:rFonts w:ascii="宋体" w:hAnsi="宋体" w:cs="宋体"/>
                <w:kern w:val="0"/>
                <w:sz w:val="15"/>
                <w:szCs w:val="21"/>
              </w:rPr>
            </w:pPr>
            <w:r>
              <w:rPr>
                <w:rFonts w:ascii="宋体" w:hAnsi="宋体" w:cs="宋体"/>
                <w:kern w:val="0"/>
                <w:sz w:val="15"/>
                <w:szCs w:val="21"/>
              </w:rPr>
              <w:t>84</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器官移植导致的</w:t>
            </w:r>
            <w:r>
              <w:rPr>
                <w:rFonts w:ascii="宋体" w:hAnsi="宋体" w:cs="宋体"/>
                <w:kern w:val="0"/>
                <w:sz w:val="15"/>
                <w:szCs w:val="21"/>
              </w:rPr>
              <w:t>HIV</w:t>
            </w:r>
            <w:r>
              <w:rPr>
                <w:rFonts w:ascii="宋体" w:hAnsi="宋体" w:cs="宋体" w:hint="eastAsia"/>
                <w:kern w:val="0"/>
                <w:sz w:val="15"/>
                <w:szCs w:val="21"/>
              </w:rPr>
              <w:t>感染</w:t>
            </w:r>
          </w:p>
        </w:tc>
        <w:tc>
          <w:tcPr>
            <w:tcW w:w="2971" w:type="dxa"/>
            <w:vAlign w:val="center"/>
          </w:tcPr>
          <w:p w14:paraId="608FB553"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30、</w:t>
            </w:r>
            <w:r>
              <w:rPr>
                <w:rFonts w:ascii="宋体" w:hAnsi="宋体" w:hint="eastAsia"/>
                <w:color w:val="000000"/>
                <w:sz w:val="15"/>
                <w:szCs w:val="21"/>
              </w:rPr>
              <w:t xml:space="preserve"> POEMS综合征</w:t>
            </w:r>
          </w:p>
        </w:tc>
      </w:tr>
      <w:tr w:rsidR="008F265F" w14:paraId="51D7A070" w14:textId="77777777">
        <w:trPr>
          <w:jc w:val="center"/>
        </w:trPr>
        <w:tc>
          <w:tcPr>
            <w:tcW w:w="3114" w:type="dxa"/>
            <w:vAlign w:val="center"/>
          </w:tcPr>
          <w:p w14:paraId="2DD5E896" w14:textId="77777777" w:rsidR="008F265F" w:rsidRDefault="00A542E4">
            <w:pPr>
              <w:rPr>
                <w:rFonts w:ascii="宋体" w:hAnsi="宋体" w:cs="宋体"/>
                <w:kern w:val="0"/>
                <w:sz w:val="15"/>
                <w:szCs w:val="21"/>
              </w:rPr>
            </w:pPr>
            <w:r>
              <w:rPr>
                <w:rFonts w:ascii="宋体" w:hAnsi="宋体" w:cs="宋体"/>
                <w:kern w:val="0"/>
                <w:sz w:val="15"/>
                <w:szCs w:val="21"/>
              </w:rPr>
              <w:t xml:space="preserve">39、 </w:t>
            </w:r>
            <w:r>
              <w:rPr>
                <w:rFonts w:ascii="宋体" w:hAnsi="宋体" w:cs="宋体" w:hint="eastAsia"/>
                <w:kern w:val="0"/>
                <w:sz w:val="15"/>
                <w:szCs w:val="21"/>
              </w:rPr>
              <w:t>严重类风湿性关节炎</w:t>
            </w:r>
          </w:p>
        </w:tc>
        <w:tc>
          <w:tcPr>
            <w:tcW w:w="2977" w:type="dxa"/>
            <w:vAlign w:val="center"/>
          </w:tcPr>
          <w:p w14:paraId="0248901F" w14:textId="77777777" w:rsidR="008F265F" w:rsidRDefault="00A542E4">
            <w:pPr>
              <w:rPr>
                <w:rFonts w:ascii="宋体" w:hAnsi="宋体" w:cs="宋体"/>
                <w:kern w:val="0"/>
                <w:sz w:val="15"/>
                <w:szCs w:val="21"/>
              </w:rPr>
            </w:pPr>
            <w:r>
              <w:rPr>
                <w:rFonts w:ascii="宋体" w:hAnsi="宋体" w:cs="宋体"/>
                <w:kern w:val="0"/>
                <w:sz w:val="15"/>
                <w:szCs w:val="21"/>
              </w:rPr>
              <w:t>85</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进行性多灶性白质脑病</w:t>
            </w:r>
          </w:p>
        </w:tc>
        <w:tc>
          <w:tcPr>
            <w:tcW w:w="2971" w:type="dxa"/>
            <w:vAlign w:val="center"/>
          </w:tcPr>
          <w:p w14:paraId="34CDAFA2" w14:textId="77777777" w:rsidR="008F265F" w:rsidRDefault="00A542E4">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31、</w:t>
            </w:r>
            <w:r>
              <w:rPr>
                <w:rFonts w:ascii="宋体" w:hAnsi="宋体" w:hint="eastAsia"/>
                <w:color w:val="000000"/>
                <w:sz w:val="15"/>
                <w:szCs w:val="21"/>
              </w:rPr>
              <w:t xml:space="preserve"> 进行性家族性肝内胆汁淤积症</w:t>
            </w:r>
          </w:p>
        </w:tc>
      </w:tr>
      <w:tr w:rsidR="008F265F" w14:paraId="6E66319E" w14:textId="77777777">
        <w:trPr>
          <w:jc w:val="center"/>
        </w:trPr>
        <w:tc>
          <w:tcPr>
            <w:tcW w:w="3114" w:type="dxa"/>
            <w:vAlign w:val="center"/>
          </w:tcPr>
          <w:p w14:paraId="5832B736" w14:textId="77777777" w:rsidR="008F265F" w:rsidRDefault="00A542E4">
            <w:pPr>
              <w:rPr>
                <w:rFonts w:ascii="宋体" w:hAnsi="宋体" w:cs="宋体"/>
                <w:kern w:val="0"/>
                <w:sz w:val="15"/>
                <w:szCs w:val="21"/>
              </w:rPr>
            </w:pPr>
            <w:r>
              <w:rPr>
                <w:rFonts w:ascii="宋体" w:hAnsi="宋体" w:cs="宋体"/>
                <w:kern w:val="0"/>
                <w:sz w:val="15"/>
                <w:szCs w:val="21"/>
              </w:rPr>
              <w:t xml:space="preserve">40、 </w:t>
            </w:r>
            <w:r>
              <w:rPr>
                <w:rFonts w:ascii="宋体" w:hAnsi="宋体" w:cs="宋体" w:hint="eastAsia"/>
                <w:kern w:val="0"/>
                <w:sz w:val="15"/>
                <w:szCs w:val="21"/>
              </w:rPr>
              <w:t>重症急性坏死性筋膜炎</w:t>
            </w:r>
          </w:p>
        </w:tc>
        <w:tc>
          <w:tcPr>
            <w:tcW w:w="2977" w:type="dxa"/>
            <w:vAlign w:val="center"/>
          </w:tcPr>
          <w:p w14:paraId="2CAB7A3F" w14:textId="77777777" w:rsidR="008F265F" w:rsidRDefault="00A542E4">
            <w:pPr>
              <w:rPr>
                <w:rFonts w:ascii="宋体" w:hAnsi="宋体" w:cs="宋体"/>
                <w:kern w:val="0"/>
                <w:sz w:val="15"/>
                <w:szCs w:val="21"/>
              </w:rPr>
            </w:pPr>
            <w:r>
              <w:rPr>
                <w:rFonts w:ascii="宋体" w:hAnsi="宋体" w:cs="宋体"/>
                <w:kern w:val="0"/>
                <w:sz w:val="15"/>
                <w:szCs w:val="21"/>
              </w:rPr>
              <w:t>86</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严重脊髓小脑共济失调/脊髓小脑变性症——</w:t>
            </w:r>
            <w:r w:rsidRPr="00FD5F2C">
              <w:rPr>
                <w:rFonts w:ascii="宋体" w:hAnsi="宋体" w:cs="宋体" w:hint="eastAsia"/>
                <w:kern w:val="0"/>
                <w:sz w:val="15"/>
                <w:szCs w:val="21"/>
                <w:shd w:val="pct15" w:color="auto" w:fill="FFFFFF"/>
              </w:rPr>
              <w:t>二十二周岁前理赔</w:t>
            </w:r>
          </w:p>
        </w:tc>
        <w:tc>
          <w:tcPr>
            <w:tcW w:w="2971" w:type="dxa"/>
            <w:vAlign w:val="center"/>
          </w:tcPr>
          <w:p w14:paraId="497D7E61" w14:textId="77777777" w:rsidR="008F265F" w:rsidRDefault="00A542E4">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32、</w:t>
            </w:r>
            <w:r>
              <w:rPr>
                <w:rFonts w:ascii="宋体" w:hAnsi="宋体" w:hint="eastAsia"/>
                <w:color w:val="000000"/>
                <w:sz w:val="15"/>
                <w:szCs w:val="21"/>
              </w:rPr>
              <w:t xml:space="preserve"> 谷固醇血症</w:t>
            </w:r>
          </w:p>
        </w:tc>
      </w:tr>
      <w:tr w:rsidR="008F265F" w14:paraId="5C62CC17" w14:textId="77777777">
        <w:trPr>
          <w:jc w:val="center"/>
        </w:trPr>
        <w:tc>
          <w:tcPr>
            <w:tcW w:w="3114" w:type="dxa"/>
            <w:vAlign w:val="center"/>
          </w:tcPr>
          <w:p w14:paraId="618A6731" w14:textId="77777777" w:rsidR="008F265F" w:rsidRDefault="00A542E4">
            <w:pPr>
              <w:rPr>
                <w:rFonts w:ascii="宋体" w:hAnsi="宋体" w:cs="宋体"/>
                <w:kern w:val="0"/>
                <w:sz w:val="15"/>
                <w:szCs w:val="21"/>
              </w:rPr>
            </w:pPr>
            <w:r>
              <w:rPr>
                <w:rFonts w:ascii="宋体" w:hAnsi="宋体" w:cs="宋体"/>
                <w:kern w:val="0"/>
                <w:sz w:val="15"/>
                <w:szCs w:val="21"/>
              </w:rPr>
              <w:t xml:space="preserve">41、 </w:t>
            </w:r>
            <w:r>
              <w:rPr>
                <w:rFonts w:ascii="宋体" w:hAnsi="宋体" w:cs="宋体" w:hint="eastAsia"/>
                <w:kern w:val="0"/>
                <w:sz w:val="15"/>
                <w:szCs w:val="21"/>
              </w:rPr>
              <w:t>急性坏死性胰腺炎开腹手术</w:t>
            </w:r>
          </w:p>
        </w:tc>
        <w:tc>
          <w:tcPr>
            <w:tcW w:w="2977" w:type="dxa"/>
            <w:vAlign w:val="center"/>
          </w:tcPr>
          <w:p w14:paraId="15A5B91E" w14:textId="77777777" w:rsidR="008F265F" w:rsidRDefault="00A542E4">
            <w:pPr>
              <w:rPr>
                <w:rFonts w:ascii="宋体" w:hAnsi="宋体" w:cs="宋体"/>
                <w:kern w:val="0"/>
                <w:sz w:val="15"/>
                <w:szCs w:val="21"/>
              </w:rPr>
            </w:pPr>
            <w:r>
              <w:rPr>
                <w:rFonts w:ascii="宋体" w:hAnsi="宋体" w:cs="宋体"/>
                <w:kern w:val="0"/>
                <w:sz w:val="15"/>
                <w:szCs w:val="21"/>
              </w:rPr>
              <w:t>87</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严重强直性脊柱炎</w:t>
            </w:r>
          </w:p>
        </w:tc>
        <w:tc>
          <w:tcPr>
            <w:tcW w:w="2971" w:type="dxa"/>
            <w:vAlign w:val="center"/>
          </w:tcPr>
          <w:p w14:paraId="11BB601C"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33、</w:t>
            </w:r>
            <w:r>
              <w:rPr>
                <w:rFonts w:ascii="宋体" w:hAnsi="宋体" w:hint="eastAsia"/>
                <w:color w:val="000000"/>
                <w:sz w:val="15"/>
                <w:szCs w:val="21"/>
              </w:rPr>
              <w:t xml:space="preserve"> Castleman病</w:t>
            </w:r>
          </w:p>
        </w:tc>
      </w:tr>
      <w:tr w:rsidR="008F265F" w14:paraId="1C45CEF5" w14:textId="77777777">
        <w:trPr>
          <w:jc w:val="center"/>
        </w:trPr>
        <w:tc>
          <w:tcPr>
            <w:tcW w:w="3114" w:type="dxa"/>
            <w:vAlign w:val="center"/>
          </w:tcPr>
          <w:p w14:paraId="553C77DB" w14:textId="77777777" w:rsidR="008F265F" w:rsidRDefault="00A542E4">
            <w:pPr>
              <w:rPr>
                <w:rFonts w:ascii="宋体" w:hAnsi="宋体" w:cs="宋体"/>
                <w:kern w:val="0"/>
                <w:sz w:val="15"/>
                <w:szCs w:val="21"/>
              </w:rPr>
            </w:pPr>
            <w:r>
              <w:rPr>
                <w:rFonts w:ascii="宋体" w:hAnsi="宋体" w:cs="宋体"/>
                <w:kern w:val="0"/>
                <w:sz w:val="15"/>
                <w:szCs w:val="21"/>
              </w:rPr>
              <w:t xml:space="preserve">42、 </w:t>
            </w:r>
            <w:r>
              <w:rPr>
                <w:rFonts w:ascii="宋体" w:hAnsi="宋体" w:cs="宋体" w:hint="eastAsia"/>
                <w:kern w:val="0"/>
                <w:sz w:val="15"/>
                <w:szCs w:val="21"/>
              </w:rPr>
              <w:t>系统性硬皮病</w:t>
            </w:r>
          </w:p>
        </w:tc>
        <w:tc>
          <w:tcPr>
            <w:tcW w:w="2977" w:type="dxa"/>
            <w:vAlign w:val="center"/>
          </w:tcPr>
          <w:p w14:paraId="0BCEDCCF" w14:textId="77777777" w:rsidR="008F265F" w:rsidRDefault="00A542E4">
            <w:pPr>
              <w:rPr>
                <w:rFonts w:ascii="宋体" w:hAnsi="宋体" w:cs="宋体"/>
                <w:kern w:val="0"/>
                <w:sz w:val="15"/>
                <w:szCs w:val="21"/>
              </w:rPr>
            </w:pPr>
            <w:r>
              <w:rPr>
                <w:rFonts w:ascii="宋体" w:hAnsi="宋体" w:cs="宋体"/>
                <w:kern w:val="0"/>
                <w:sz w:val="15"/>
                <w:szCs w:val="21"/>
              </w:rPr>
              <w:t>88</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多处臂丛神经根性撕脱</w:t>
            </w:r>
          </w:p>
        </w:tc>
        <w:tc>
          <w:tcPr>
            <w:tcW w:w="2971" w:type="dxa"/>
            <w:vAlign w:val="center"/>
          </w:tcPr>
          <w:p w14:paraId="19F9B948"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34、</w:t>
            </w:r>
            <w:r>
              <w:rPr>
                <w:rFonts w:ascii="宋体" w:hAnsi="宋体" w:hint="eastAsia"/>
                <w:color w:val="000000"/>
                <w:sz w:val="15"/>
                <w:szCs w:val="21"/>
              </w:rPr>
              <w:t xml:space="preserve"> Erdheim-Chester病</w:t>
            </w:r>
          </w:p>
        </w:tc>
      </w:tr>
      <w:tr w:rsidR="008F265F" w14:paraId="5ED8546F" w14:textId="77777777">
        <w:trPr>
          <w:jc w:val="center"/>
        </w:trPr>
        <w:tc>
          <w:tcPr>
            <w:tcW w:w="3114" w:type="dxa"/>
            <w:vAlign w:val="center"/>
          </w:tcPr>
          <w:p w14:paraId="3D2151A4" w14:textId="77777777" w:rsidR="008F265F" w:rsidRDefault="00A542E4">
            <w:pPr>
              <w:rPr>
                <w:rFonts w:ascii="宋体" w:hAnsi="宋体" w:cs="宋体"/>
                <w:kern w:val="0"/>
                <w:sz w:val="15"/>
                <w:szCs w:val="21"/>
              </w:rPr>
            </w:pPr>
            <w:r>
              <w:rPr>
                <w:rFonts w:ascii="宋体" w:hAnsi="宋体" w:cs="宋体"/>
                <w:kern w:val="0"/>
                <w:sz w:val="15"/>
                <w:szCs w:val="21"/>
              </w:rPr>
              <w:t xml:space="preserve">43、 </w:t>
            </w:r>
            <w:r>
              <w:rPr>
                <w:rFonts w:ascii="宋体" w:hAnsi="宋体" w:cs="宋体" w:hint="eastAsia"/>
                <w:kern w:val="0"/>
                <w:sz w:val="15"/>
                <w:szCs w:val="21"/>
              </w:rPr>
              <w:t>慢性复发性胰腺炎</w:t>
            </w:r>
          </w:p>
        </w:tc>
        <w:tc>
          <w:tcPr>
            <w:tcW w:w="2977" w:type="dxa"/>
            <w:vAlign w:val="center"/>
          </w:tcPr>
          <w:p w14:paraId="4245C2BD" w14:textId="77777777" w:rsidR="008F265F" w:rsidRDefault="00A542E4">
            <w:pPr>
              <w:rPr>
                <w:rFonts w:ascii="宋体" w:hAnsi="宋体" w:cs="宋体"/>
                <w:kern w:val="0"/>
                <w:sz w:val="15"/>
                <w:szCs w:val="21"/>
              </w:rPr>
            </w:pPr>
            <w:r>
              <w:rPr>
                <w:rFonts w:ascii="宋体" w:hAnsi="宋体" w:cs="宋体"/>
                <w:kern w:val="0"/>
                <w:sz w:val="15"/>
                <w:szCs w:val="21"/>
              </w:rPr>
              <w:t>89</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艾森门格综合征</w:t>
            </w:r>
          </w:p>
        </w:tc>
        <w:tc>
          <w:tcPr>
            <w:tcW w:w="2971" w:type="dxa"/>
            <w:vAlign w:val="center"/>
          </w:tcPr>
          <w:p w14:paraId="094CB56A" w14:textId="77777777" w:rsidR="008F265F" w:rsidRDefault="00A542E4">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35、</w:t>
            </w:r>
            <w:r>
              <w:rPr>
                <w:rFonts w:ascii="宋体" w:hAnsi="宋体" w:hint="eastAsia"/>
                <w:color w:val="000000"/>
                <w:sz w:val="15"/>
                <w:szCs w:val="21"/>
              </w:rPr>
              <w:t xml:space="preserve"> McCune-Albright综合征</w:t>
            </w:r>
          </w:p>
        </w:tc>
      </w:tr>
      <w:tr w:rsidR="008F265F" w14:paraId="36161BE3" w14:textId="77777777">
        <w:trPr>
          <w:jc w:val="center"/>
        </w:trPr>
        <w:tc>
          <w:tcPr>
            <w:tcW w:w="3114" w:type="dxa"/>
            <w:vAlign w:val="center"/>
          </w:tcPr>
          <w:p w14:paraId="2C2C179E" w14:textId="77777777" w:rsidR="008F265F" w:rsidRDefault="00A542E4">
            <w:pPr>
              <w:rPr>
                <w:rFonts w:ascii="宋体" w:hAnsi="宋体" w:cs="宋体"/>
                <w:kern w:val="0"/>
                <w:sz w:val="15"/>
                <w:szCs w:val="21"/>
              </w:rPr>
            </w:pPr>
            <w:r>
              <w:rPr>
                <w:rFonts w:ascii="宋体" w:hAnsi="宋体" w:cs="宋体"/>
                <w:kern w:val="0"/>
                <w:sz w:val="15"/>
                <w:szCs w:val="21"/>
              </w:rPr>
              <w:t xml:space="preserve">44、 </w:t>
            </w:r>
            <w:r>
              <w:rPr>
                <w:rFonts w:ascii="宋体" w:hAnsi="宋体" w:cs="宋体" w:hint="eastAsia"/>
                <w:kern w:val="0"/>
                <w:sz w:val="15"/>
                <w:szCs w:val="21"/>
              </w:rPr>
              <w:t>严重肌营养不良症</w:t>
            </w:r>
          </w:p>
        </w:tc>
        <w:tc>
          <w:tcPr>
            <w:tcW w:w="2977" w:type="dxa"/>
            <w:vAlign w:val="center"/>
          </w:tcPr>
          <w:p w14:paraId="3292D474" w14:textId="77777777" w:rsidR="008F265F" w:rsidRDefault="00A542E4">
            <w:pPr>
              <w:rPr>
                <w:rFonts w:ascii="宋体" w:hAnsi="宋体" w:cs="宋体"/>
                <w:kern w:val="0"/>
                <w:sz w:val="15"/>
                <w:szCs w:val="21"/>
              </w:rPr>
            </w:pPr>
            <w:r>
              <w:rPr>
                <w:rFonts w:ascii="宋体" w:hAnsi="宋体" w:cs="宋体"/>
                <w:kern w:val="0"/>
                <w:sz w:val="15"/>
                <w:szCs w:val="21"/>
              </w:rPr>
              <w:t>90</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细菌性脑脊髓膜炎</w:t>
            </w:r>
          </w:p>
        </w:tc>
        <w:tc>
          <w:tcPr>
            <w:tcW w:w="2971" w:type="dxa"/>
            <w:vAlign w:val="center"/>
          </w:tcPr>
          <w:p w14:paraId="45ED27A1" w14:textId="77777777" w:rsidR="008F265F" w:rsidRDefault="00A542E4">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36、</w:t>
            </w:r>
            <w:r>
              <w:rPr>
                <w:rFonts w:ascii="宋体" w:hAnsi="宋体" w:hint="eastAsia"/>
                <w:color w:val="000000"/>
                <w:sz w:val="15"/>
                <w:szCs w:val="21"/>
              </w:rPr>
              <w:t xml:space="preserve"> 多灶性运动神经病</w:t>
            </w:r>
          </w:p>
        </w:tc>
      </w:tr>
      <w:tr w:rsidR="008F265F" w14:paraId="22C393C9" w14:textId="77777777">
        <w:trPr>
          <w:jc w:val="center"/>
        </w:trPr>
        <w:tc>
          <w:tcPr>
            <w:tcW w:w="3114" w:type="dxa"/>
            <w:vAlign w:val="center"/>
          </w:tcPr>
          <w:p w14:paraId="0938A97C" w14:textId="77777777" w:rsidR="008F265F" w:rsidRDefault="00A542E4">
            <w:pPr>
              <w:rPr>
                <w:rFonts w:ascii="宋体" w:hAnsi="宋体" w:cs="宋体"/>
                <w:kern w:val="0"/>
                <w:sz w:val="15"/>
                <w:szCs w:val="21"/>
              </w:rPr>
            </w:pPr>
            <w:r>
              <w:rPr>
                <w:rFonts w:ascii="宋体" w:hAnsi="宋体" w:cs="宋体"/>
                <w:kern w:val="0"/>
                <w:sz w:val="15"/>
                <w:szCs w:val="21"/>
              </w:rPr>
              <w:t xml:space="preserve">45、 </w:t>
            </w:r>
            <w:r>
              <w:rPr>
                <w:rFonts w:ascii="宋体" w:hAnsi="宋体" w:cs="宋体" w:hint="eastAsia"/>
                <w:kern w:val="0"/>
                <w:sz w:val="15"/>
                <w:szCs w:val="21"/>
              </w:rPr>
              <w:t>溶血性链球菌引起的坏疽</w:t>
            </w:r>
          </w:p>
        </w:tc>
        <w:tc>
          <w:tcPr>
            <w:tcW w:w="2977" w:type="dxa"/>
            <w:vAlign w:val="center"/>
          </w:tcPr>
          <w:p w14:paraId="5DCAC19A" w14:textId="77777777" w:rsidR="008F265F" w:rsidRDefault="00A542E4">
            <w:pPr>
              <w:rPr>
                <w:rFonts w:ascii="宋体" w:hAnsi="宋体" w:cs="宋体"/>
                <w:kern w:val="0"/>
                <w:sz w:val="15"/>
                <w:szCs w:val="21"/>
              </w:rPr>
            </w:pPr>
            <w:r>
              <w:rPr>
                <w:rFonts w:ascii="宋体" w:hAnsi="宋体" w:cs="宋体"/>
                <w:kern w:val="0"/>
                <w:sz w:val="15"/>
                <w:szCs w:val="21"/>
              </w:rPr>
              <w:t>91</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库鲁病</w:t>
            </w:r>
          </w:p>
        </w:tc>
        <w:tc>
          <w:tcPr>
            <w:tcW w:w="2971" w:type="dxa"/>
            <w:vAlign w:val="center"/>
          </w:tcPr>
          <w:p w14:paraId="46721CB1" w14:textId="77777777" w:rsidR="008F265F" w:rsidRDefault="00A542E4">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37、</w:t>
            </w:r>
            <w:r>
              <w:rPr>
                <w:rFonts w:ascii="宋体" w:hAnsi="宋体" w:hint="eastAsia"/>
                <w:color w:val="000000"/>
                <w:sz w:val="15"/>
                <w:szCs w:val="21"/>
              </w:rPr>
              <w:t xml:space="preserve"> 严重原发性轻链型淀粉样变性（AL型）</w:t>
            </w:r>
          </w:p>
        </w:tc>
      </w:tr>
      <w:tr w:rsidR="008F265F" w14:paraId="49F203BA" w14:textId="77777777">
        <w:trPr>
          <w:jc w:val="center"/>
        </w:trPr>
        <w:tc>
          <w:tcPr>
            <w:tcW w:w="3114" w:type="dxa"/>
            <w:vAlign w:val="center"/>
          </w:tcPr>
          <w:p w14:paraId="4409458F" w14:textId="77777777" w:rsidR="008F265F" w:rsidRDefault="00A542E4">
            <w:pPr>
              <w:rPr>
                <w:rFonts w:ascii="宋体" w:hAnsi="宋体" w:cs="宋体"/>
                <w:kern w:val="0"/>
                <w:sz w:val="15"/>
                <w:szCs w:val="21"/>
              </w:rPr>
            </w:pPr>
            <w:r>
              <w:rPr>
                <w:rFonts w:ascii="宋体" w:hAnsi="宋体"/>
                <w:color w:val="000000"/>
                <w:sz w:val="15"/>
                <w:szCs w:val="21"/>
              </w:rPr>
              <w:t>46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因职业关系导致的</w:t>
            </w:r>
            <w:r>
              <w:rPr>
                <w:rFonts w:ascii="宋体" w:hAnsi="宋体"/>
                <w:color w:val="000000"/>
                <w:sz w:val="15"/>
                <w:szCs w:val="21"/>
              </w:rPr>
              <w:t>HIV</w:t>
            </w:r>
            <w:r>
              <w:rPr>
                <w:rFonts w:ascii="宋体" w:hAnsi="宋体" w:hint="eastAsia"/>
                <w:color w:val="000000"/>
                <w:sz w:val="15"/>
                <w:szCs w:val="21"/>
              </w:rPr>
              <w:t>感染</w:t>
            </w:r>
          </w:p>
        </w:tc>
        <w:tc>
          <w:tcPr>
            <w:tcW w:w="2977" w:type="dxa"/>
            <w:vAlign w:val="center"/>
          </w:tcPr>
          <w:p w14:paraId="32BE59FD" w14:textId="77777777" w:rsidR="008F265F" w:rsidRDefault="00A542E4">
            <w:pPr>
              <w:rPr>
                <w:rFonts w:ascii="宋体" w:hAnsi="宋体" w:cs="宋体"/>
                <w:kern w:val="0"/>
                <w:sz w:val="15"/>
                <w:szCs w:val="21"/>
              </w:rPr>
            </w:pPr>
            <w:r>
              <w:rPr>
                <w:rFonts w:ascii="宋体" w:hAnsi="宋体" w:cs="宋体"/>
                <w:kern w:val="0"/>
                <w:sz w:val="15"/>
                <w:szCs w:val="21"/>
              </w:rPr>
              <w:t>92</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疾病或外伤所致智力障碍</w:t>
            </w:r>
          </w:p>
        </w:tc>
        <w:tc>
          <w:tcPr>
            <w:tcW w:w="2971" w:type="dxa"/>
            <w:vAlign w:val="center"/>
          </w:tcPr>
          <w:p w14:paraId="4B8F0CFC" w14:textId="77777777" w:rsidR="008F265F" w:rsidRDefault="008F265F">
            <w:pPr>
              <w:rPr>
                <w:rFonts w:ascii="宋体" w:hAnsi="宋体"/>
                <w:color w:val="000000"/>
                <w:sz w:val="15"/>
                <w:szCs w:val="21"/>
              </w:rPr>
            </w:pPr>
          </w:p>
        </w:tc>
      </w:tr>
      <w:tr w:rsidR="008F265F" w14:paraId="7BC18783" w14:textId="77777777">
        <w:trPr>
          <w:jc w:val="center"/>
        </w:trPr>
        <w:tc>
          <w:tcPr>
            <w:tcW w:w="9062" w:type="dxa"/>
            <w:gridSpan w:val="3"/>
            <w:vAlign w:val="center"/>
          </w:tcPr>
          <w:p w14:paraId="6485CACA" w14:textId="77777777" w:rsidR="008F265F" w:rsidRDefault="00A542E4">
            <w:pPr>
              <w:jc w:val="center"/>
              <w:rPr>
                <w:rFonts w:ascii="宋体" w:hAnsi="宋体"/>
                <w:color w:val="000000"/>
                <w:sz w:val="15"/>
                <w:szCs w:val="21"/>
              </w:rPr>
            </w:pPr>
            <w:r>
              <w:rPr>
                <w:rFonts w:ascii="宋体" w:hAnsi="宋体" w:cs="宋体" w:hint="eastAsia"/>
                <w:b/>
                <w:kern w:val="0"/>
                <w:szCs w:val="21"/>
              </w:rPr>
              <w:t>少儿特定</w:t>
            </w:r>
            <w:r>
              <w:rPr>
                <w:rFonts w:ascii="宋体" w:hAnsi="宋体" w:cs="宋体"/>
                <w:b/>
                <w:kern w:val="0"/>
                <w:szCs w:val="21"/>
              </w:rPr>
              <w:t>疾病</w:t>
            </w:r>
          </w:p>
        </w:tc>
      </w:tr>
      <w:tr w:rsidR="008F265F" w14:paraId="29403C03" w14:textId="77777777">
        <w:trPr>
          <w:jc w:val="center"/>
        </w:trPr>
        <w:tc>
          <w:tcPr>
            <w:tcW w:w="3114" w:type="dxa"/>
            <w:vAlign w:val="center"/>
          </w:tcPr>
          <w:p w14:paraId="4A78AE84" w14:textId="77777777" w:rsidR="008F265F" w:rsidRDefault="00A542E4">
            <w:pPr>
              <w:rPr>
                <w:rFonts w:ascii="宋体" w:hAnsi="宋体" w:cs="宋体"/>
                <w:kern w:val="0"/>
                <w:sz w:val="15"/>
                <w:szCs w:val="21"/>
              </w:rPr>
            </w:pPr>
            <w:r>
              <w:rPr>
                <w:rFonts w:ascii="宋体" w:hAnsi="宋体" w:cs="Arial"/>
                <w:bCs/>
                <w:snapToGrid w:val="0"/>
                <w:color w:val="000000"/>
                <w:sz w:val="15"/>
              </w:rPr>
              <w:t>1</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白血病</w:t>
            </w:r>
          </w:p>
        </w:tc>
        <w:tc>
          <w:tcPr>
            <w:tcW w:w="2977" w:type="dxa"/>
            <w:vAlign w:val="center"/>
          </w:tcPr>
          <w:p w14:paraId="12CBD699" w14:textId="77777777" w:rsidR="008F265F" w:rsidRDefault="00A542E4">
            <w:pPr>
              <w:rPr>
                <w:rFonts w:ascii="宋体" w:hAnsi="宋体" w:cs="宋体"/>
                <w:kern w:val="0"/>
                <w:sz w:val="15"/>
                <w:szCs w:val="21"/>
              </w:rPr>
            </w:pPr>
            <w:r>
              <w:rPr>
                <w:rFonts w:ascii="宋体" w:hAnsi="宋体" w:cs="Arial"/>
                <w:bCs/>
                <w:snapToGrid w:val="0"/>
                <w:color w:val="000000"/>
                <w:sz w:val="15"/>
              </w:rPr>
              <w:t>8</w:t>
            </w:r>
            <w:r>
              <w:rPr>
                <w:rFonts w:ascii="宋体" w:hAnsi="宋体" w:cs="Arial" w:hint="eastAsia"/>
                <w:bCs/>
                <w:snapToGrid w:val="0"/>
                <w:color w:val="000000"/>
                <w:sz w:val="15"/>
              </w:rPr>
              <w:t>、 严重类风湿性关节炎</w:t>
            </w:r>
          </w:p>
        </w:tc>
        <w:tc>
          <w:tcPr>
            <w:tcW w:w="2971" w:type="dxa"/>
            <w:vAlign w:val="center"/>
          </w:tcPr>
          <w:p w14:paraId="30F45A7D" w14:textId="77777777" w:rsidR="008F265F" w:rsidRDefault="00A542E4">
            <w:pPr>
              <w:rPr>
                <w:rFonts w:ascii="宋体" w:hAnsi="宋体"/>
                <w:color w:val="000000"/>
                <w:sz w:val="15"/>
                <w:szCs w:val="21"/>
              </w:rPr>
            </w:pPr>
            <w:r>
              <w:rPr>
                <w:rFonts w:ascii="宋体" w:hAnsi="宋体" w:cs="Arial"/>
                <w:bCs/>
                <w:snapToGrid w:val="0"/>
                <w:color w:val="000000"/>
                <w:sz w:val="15"/>
              </w:rPr>
              <w:t>15</w:t>
            </w:r>
            <w:r>
              <w:rPr>
                <w:rFonts w:ascii="宋体" w:hAnsi="宋体" w:cs="Arial" w:hint="eastAsia"/>
                <w:bCs/>
                <w:snapToGrid w:val="0"/>
                <w:color w:val="000000"/>
                <w:sz w:val="15"/>
              </w:rPr>
              <w:t>、 严重哮喘</w:t>
            </w:r>
          </w:p>
        </w:tc>
      </w:tr>
      <w:tr w:rsidR="008F265F" w14:paraId="503B08BF" w14:textId="77777777">
        <w:trPr>
          <w:jc w:val="center"/>
        </w:trPr>
        <w:tc>
          <w:tcPr>
            <w:tcW w:w="3114" w:type="dxa"/>
            <w:vAlign w:val="center"/>
          </w:tcPr>
          <w:p w14:paraId="204B0753" w14:textId="77777777" w:rsidR="008F265F" w:rsidRDefault="00A542E4">
            <w:pPr>
              <w:rPr>
                <w:rFonts w:ascii="宋体" w:hAnsi="宋体" w:cs="宋体"/>
                <w:kern w:val="0"/>
                <w:sz w:val="15"/>
                <w:szCs w:val="21"/>
              </w:rPr>
            </w:pPr>
            <w:r>
              <w:rPr>
                <w:rFonts w:ascii="宋体" w:hAnsi="宋体" w:cs="Arial"/>
                <w:bCs/>
                <w:snapToGrid w:val="0"/>
                <w:color w:val="000000"/>
                <w:sz w:val="15"/>
              </w:rPr>
              <w:t>2</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淋巴瘤</w:t>
            </w:r>
          </w:p>
        </w:tc>
        <w:tc>
          <w:tcPr>
            <w:tcW w:w="2977" w:type="dxa"/>
            <w:vAlign w:val="center"/>
          </w:tcPr>
          <w:p w14:paraId="7964B285" w14:textId="77777777" w:rsidR="008F265F" w:rsidRDefault="00A542E4">
            <w:pPr>
              <w:rPr>
                <w:rFonts w:ascii="宋体" w:hAnsi="宋体" w:cs="宋体"/>
                <w:kern w:val="0"/>
                <w:sz w:val="15"/>
                <w:szCs w:val="21"/>
              </w:rPr>
            </w:pPr>
            <w:r>
              <w:rPr>
                <w:rFonts w:ascii="宋体" w:hAnsi="宋体" w:cs="Arial"/>
                <w:bCs/>
                <w:snapToGrid w:val="0"/>
                <w:color w:val="000000"/>
                <w:sz w:val="15"/>
              </w:rPr>
              <w:t>9</w:t>
            </w:r>
            <w:r>
              <w:rPr>
                <w:rFonts w:ascii="宋体" w:hAnsi="宋体" w:cs="Arial" w:hint="eastAsia"/>
                <w:bCs/>
                <w:snapToGrid w:val="0"/>
                <w:color w:val="000000"/>
                <w:sz w:val="15"/>
              </w:rPr>
              <w:t>、 严重心肌病</w:t>
            </w:r>
          </w:p>
        </w:tc>
        <w:tc>
          <w:tcPr>
            <w:tcW w:w="2971" w:type="dxa"/>
            <w:vAlign w:val="center"/>
          </w:tcPr>
          <w:p w14:paraId="2721A170" w14:textId="77777777" w:rsidR="008F265F" w:rsidRDefault="00A542E4">
            <w:pPr>
              <w:rPr>
                <w:rFonts w:ascii="宋体" w:hAnsi="宋体"/>
                <w:color w:val="000000"/>
                <w:sz w:val="15"/>
                <w:szCs w:val="21"/>
              </w:rPr>
            </w:pPr>
            <w:r>
              <w:rPr>
                <w:rFonts w:ascii="宋体" w:hAnsi="宋体" w:cs="Arial"/>
                <w:bCs/>
                <w:snapToGrid w:val="0"/>
                <w:color w:val="000000"/>
                <w:sz w:val="15"/>
              </w:rPr>
              <w:t>16</w:t>
            </w:r>
            <w:r>
              <w:rPr>
                <w:rFonts w:ascii="宋体" w:hAnsi="宋体" w:cs="Arial" w:hint="eastAsia"/>
                <w:bCs/>
                <w:snapToGrid w:val="0"/>
                <w:color w:val="000000"/>
                <w:sz w:val="15"/>
              </w:rPr>
              <w:t>、 骨生长不全症</w:t>
            </w:r>
          </w:p>
        </w:tc>
      </w:tr>
      <w:tr w:rsidR="008F265F" w14:paraId="67A89CBC" w14:textId="77777777">
        <w:trPr>
          <w:jc w:val="center"/>
        </w:trPr>
        <w:tc>
          <w:tcPr>
            <w:tcW w:w="3114" w:type="dxa"/>
            <w:vAlign w:val="center"/>
          </w:tcPr>
          <w:p w14:paraId="03CB7709" w14:textId="77777777" w:rsidR="008F265F" w:rsidRDefault="00A542E4">
            <w:pPr>
              <w:rPr>
                <w:rFonts w:ascii="宋体" w:hAnsi="宋体" w:cs="宋体"/>
                <w:kern w:val="0"/>
                <w:sz w:val="15"/>
                <w:szCs w:val="21"/>
              </w:rPr>
            </w:pPr>
            <w:r>
              <w:rPr>
                <w:rFonts w:ascii="宋体" w:hAnsi="宋体" w:cs="Arial"/>
                <w:bCs/>
                <w:snapToGrid w:val="0"/>
                <w:color w:val="000000"/>
                <w:sz w:val="15"/>
              </w:rPr>
              <w:t>3</w:t>
            </w:r>
            <w:r>
              <w:rPr>
                <w:rFonts w:ascii="宋体" w:hAnsi="宋体" w:cs="Arial" w:hint="eastAsia"/>
                <w:bCs/>
                <w:snapToGrid w:val="0"/>
                <w:color w:val="000000"/>
                <w:sz w:val="15"/>
              </w:rPr>
              <w:t>、 神经母细胞瘤</w:t>
            </w:r>
          </w:p>
        </w:tc>
        <w:tc>
          <w:tcPr>
            <w:tcW w:w="2977" w:type="dxa"/>
            <w:vAlign w:val="center"/>
          </w:tcPr>
          <w:p w14:paraId="2FA23A1C" w14:textId="77777777" w:rsidR="008F265F" w:rsidRDefault="00A542E4">
            <w:pPr>
              <w:rPr>
                <w:rFonts w:ascii="宋体" w:hAnsi="宋体" w:cs="宋体"/>
                <w:kern w:val="0"/>
                <w:sz w:val="15"/>
                <w:szCs w:val="21"/>
              </w:rPr>
            </w:pPr>
            <w:r>
              <w:rPr>
                <w:rFonts w:ascii="宋体" w:hAnsi="宋体" w:cs="Arial"/>
                <w:bCs/>
                <w:snapToGrid w:val="0"/>
                <w:color w:val="000000"/>
                <w:sz w:val="15"/>
              </w:rPr>
              <w:t>10</w:t>
            </w:r>
            <w:r>
              <w:rPr>
                <w:rFonts w:ascii="宋体" w:hAnsi="宋体" w:cs="Arial" w:hint="eastAsia"/>
                <w:bCs/>
                <w:snapToGrid w:val="0"/>
                <w:color w:val="000000"/>
                <w:sz w:val="15"/>
              </w:rPr>
              <w:t>、 严重心肌炎</w:t>
            </w:r>
          </w:p>
        </w:tc>
        <w:tc>
          <w:tcPr>
            <w:tcW w:w="2971" w:type="dxa"/>
            <w:vAlign w:val="center"/>
          </w:tcPr>
          <w:p w14:paraId="7D9C1398" w14:textId="77777777" w:rsidR="008F265F" w:rsidRDefault="00A542E4">
            <w:pPr>
              <w:rPr>
                <w:rFonts w:ascii="宋体" w:hAnsi="宋体"/>
                <w:color w:val="000000"/>
                <w:sz w:val="15"/>
                <w:szCs w:val="21"/>
              </w:rPr>
            </w:pPr>
            <w:r>
              <w:rPr>
                <w:rFonts w:ascii="宋体" w:hAnsi="宋体" w:cs="Arial"/>
                <w:bCs/>
                <w:snapToGrid w:val="0"/>
                <w:color w:val="000000"/>
                <w:sz w:val="15"/>
              </w:rPr>
              <w:t>17</w:t>
            </w:r>
            <w:r>
              <w:rPr>
                <w:rFonts w:ascii="宋体" w:hAnsi="宋体" w:cs="Arial" w:hint="eastAsia"/>
                <w:bCs/>
                <w:snapToGrid w:val="0"/>
                <w:color w:val="000000"/>
                <w:sz w:val="15"/>
              </w:rPr>
              <w:t>、 严重1型糖尿病</w:t>
            </w:r>
          </w:p>
        </w:tc>
      </w:tr>
      <w:tr w:rsidR="008F265F" w14:paraId="29BDEDFE" w14:textId="77777777">
        <w:trPr>
          <w:jc w:val="center"/>
        </w:trPr>
        <w:tc>
          <w:tcPr>
            <w:tcW w:w="3114" w:type="dxa"/>
            <w:vAlign w:val="center"/>
          </w:tcPr>
          <w:p w14:paraId="4A91D580" w14:textId="77777777" w:rsidR="008F265F" w:rsidRDefault="00A542E4">
            <w:pPr>
              <w:rPr>
                <w:rFonts w:ascii="宋体" w:hAnsi="宋体" w:cs="宋体"/>
                <w:kern w:val="0"/>
                <w:sz w:val="15"/>
                <w:szCs w:val="21"/>
              </w:rPr>
            </w:pPr>
            <w:r>
              <w:rPr>
                <w:rFonts w:ascii="宋体" w:hAnsi="宋体" w:cs="Arial"/>
                <w:bCs/>
                <w:snapToGrid w:val="0"/>
                <w:color w:val="000000"/>
                <w:sz w:val="15"/>
              </w:rPr>
              <w:t>4</w:t>
            </w:r>
            <w:r>
              <w:rPr>
                <w:rFonts w:ascii="宋体" w:hAnsi="宋体" w:cs="Arial" w:hint="eastAsia"/>
                <w:bCs/>
                <w:snapToGrid w:val="0"/>
                <w:color w:val="000000"/>
                <w:sz w:val="15"/>
              </w:rPr>
              <w:t>、 肾母细胞瘤</w:t>
            </w:r>
          </w:p>
        </w:tc>
        <w:tc>
          <w:tcPr>
            <w:tcW w:w="2977" w:type="dxa"/>
            <w:vAlign w:val="center"/>
          </w:tcPr>
          <w:p w14:paraId="57B87D58" w14:textId="77777777" w:rsidR="008F265F" w:rsidRDefault="00A542E4">
            <w:pPr>
              <w:rPr>
                <w:rFonts w:ascii="宋体" w:hAnsi="宋体" w:cs="宋体"/>
                <w:kern w:val="0"/>
                <w:sz w:val="15"/>
                <w:szCs w:val="21"/>
              </w:rPr>
            </w:pPr>
            <w:r>
              <w:rPr>
                <w:rFonts w:ascii="宋体" w:hAnsi="宋体" w:cs="Arial"/>
                <w:bCs/>
                <w:snapToGrid w:val="0"/>
                <w:color w:val="000000"/>
                <w:sz w:val="15"/>
              </w:rPr>
              <w:t>11</w:t>
            </w:r>
            <w:r>
              <w:rPr>
                <w:rFonts w:ascii="宋体" w:hAnsi="宋体" w:cs="Arial" w:hint="eastAsia"/>
                <w:bCs/>
                <w:snapToGrid w:val="0"/>
                <w:color w:val="000000"/>
                <w:sz w:val="15"/>
              </w:rPr>
              <w:t>、 原发性骨髓纤维化</w:t>
            </w:r>
          </w:p>
        </w:tc>
        <w:tc>
          <w:tcPr>
            <w:tcW w:w="2971" w:type="dxa"/>
            <w:vAlign w:val="center"/>
          </w:tcPr>
          <w:p w14:paraId="5BAD7DBF" w14:textId="77777777" w:rsidR="008F265F" w:rsidRDefault="00A542E4">
            <w:pPr>
              <w:rPr>
                <w:rFonts w:ascii="宋体" w:hAnsi="宋体"/>
                <w:color w:val="000000"/>
                <w:sz w:val="15"/>
                <w:szCs w:val="21"/>
              </w:rPr>
            </w:pPr>
            <w:r>
              <w:rPr>
                <w:rFonts w:ascii="宋体" w:hAnsi="宋体" w:cs="Arial"/>
                <w:bCs/>
                <w:snapToGrid w:val="0"/>
                <w:color w:val="000000"/>
                <w:sz w:val="15"/>
              </w:rPr>
              <w:t>18</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严重癫痫</w:t>
            </w:r>
          </w:p>
        </w:tc>
      </w:tr>
      <w:tr w:rsidR="008F265F" w14:paraId="7F492AB8" w14:textId="77777777">
        <w:trPr>
          <w:jc w:val="center"/>
        </w:trPr>
        <w:tc>
          <w:tcPr>
            <w:tcW w:w="3114" w:type="dxa"/>
            <w:vAlign w:val="center"/>
          </w:tcPr>
          <w:p w14:paraId="765FE86F" w14:textId="77777777" w:rsidR="008F265F" w:rsidRDefault="00A542E4">
            <w:pPr>
              <w:rPr>
                <w:rFonts w:ascii="宋体" w:hAnsi="宋体" w:cs="宋体"/>
                <w:kern w:val="0"/>
                <w:sz w:val="15"/>
                <w:szCs w:val="21"/>
              </w:rPr>
            </w:pPr>
            <w:r>
              <w:rPr>
                <w:rFonts w:ascii="宋体" w:hAnsi="宋体" w:cs="Arial"/>
                <w:bCs/>
                <w:snapToGrid w:val="0"/>
                <w:color w:val="000000"/>
                <w:sz w:val="15"/>
              </w:rPr>
              <w:t>5</w:t>
            </w:r>
            <w:r>
              <w:rPr>
                <w:rFonts w:ascii="宋体" w:hAnsi="宋体" w:cs="Arial" w:hint="eastAsia"/>
                <w:bCs/>
                <w:snapToGrid w:val="0"/>
                <w:color w:val="000000"/>
                <w:sz w:val="15"/>
              </w:rPr>
              <w:t>、 脑恶性肿瘤</w:t>
            </w:r>
          </w:p>
        </w:tc>
        <w:tc>
          <w:tcPr>
            <w:tcW w:w="2977" w:type="dxa"/>
            <w:vAlign w:val="center"/>
          </w:tcPr>
          <w:p w14:paraId="5864EF3F" w14:textId="77777777" w:rsidR="008F265F" w:rsidRDefault="00A542E4">
            <w:pPr>
              <w:rPr>
                <w:rFonts w:ascii="宋体" w:hAnsi="宋体" w:cs="宋体"/>
                <w:kern w:val="0"/>
                <w:sz w:val="15"/>
                <w:szCs w:val="21"/>
              </w:rPr>
            </w:pPr>
            <w:r>
              <w:rPr>
                <w:rFonts w:ascii="宋体" w:hAnsi="宋体" w:cs="Arial"/>
                <w:bCs/>
                <w:snapToGrid w:val="0"/>
                <w:color w:val="000000"/>
                <w:sz w:val="15"/>
              </w:rPr>
              <w:t>12</w:t>
            </w:r>
            <w:r>
              <w:rPr>
                <w:rFonts w:ascii="宋体" w:hAnsi="宋体" w:cs="Arial" w:hint="eastAsia"/>
                <w:bCs/>
                <w:snapToGrid w:val="0"/>
                <w:color w:val="000000"/>
                <w:sz w:val="15"/>
              </w:rPr>
              <w:t>、 严重瑞氏综合征（Reye综合征）</w:t>
            </w:r>
          </w:p>
        </w:tc>
        <w:tc>
          <w:tcPr>
            <w:tcW w:w="2971" w:type="dxa"/>
            <w:vAlign w:val="center"/>
          </w:tcPr>
          <w:p w14:paraId="333B26B8" w14:textId="77777777" w:rsidR="008F265F" w:rsidRDefault="00A542E4">
            <w:pPr>
              <w:rPr>
                <w:rFonts w:ascii="宋体" w:hAnsi="宋体"/>
                <w:color w:val="000000"/>
                <w:sz w:val="15"/>
                <w:szCs w:val="21"/>
              </w:rPr>
            </w:pPr>
            <w:r>
              <w:rPr>
                <w:rFonts w:ascii="宋体" w:hAnsi="宋体" w:cs="Arial"/>
                <w:bCs/>
                <w:snapToGrid w:val="0"/>
                <w:color w:val="000000"/>
                <w:sz w:val="15"/>
              </w:rPr>
              <w:t>19</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结核性脊髓炎</w:t>
            </w:r>
          </w:p>
        </w:tc>
      </w:tr>
      <w:tr w:rsidR="008F265F" w14:paraId="018CD8DE" w14:textId="77777777">
        <w:trPr>
          <w:jc w:val="center"/>
        </w:trPr>
        <w:tc>
          <w:tcPr>
            <w:tcW w:w="3114" w:type="dxa"/>
            <w:vAlign w:val="center"/>
          </w:tcPr>
          <w:p w14:paraId="34F8D8CB" w14:textId="77777777" w:rsidR="008F265F" w:rsidRDefault="00A542E4">
            <w:pPr>
              <w:rPr>
                <w:rFonts w:ascii="宋体" w:hAnsi="宋体" w:cs="宋体"/>
                <w:kern w:val="0"/>
                <w:sz w:val="15"/>
                <w:szCs w:val="21"/>
              </w:rPr>
            </w:pPr>
            <w:r>
              <w:rPr>
                <w:rFonts w:ascii="宋体" w:hAnsi="宋体" w:cs="Arial"/>
                <w:bCs/>
                <w:snapToGrid w:val="0"/>
                <w:color w:val="000000"/>
                <w:sz w:val="15"/>
              </w:rPr>
              <w:t>6</w:t>
            </w:r>
            <w:r>
              <w:rPr>
                <w:rFonts w:ascii="宋体" w:hAnsi="宋体" w:cs="Arial" w:hint="eastAsia"/>
                <w:bCs/>
                <w:snapToGrid w:val="0"/>
                <w:color w:val="000000"/>
                <w:sz w:val="15"/>
              </w:rPr>
              <w:t>、 严重脑炎后遗症或严重脑膜炎后遗症</w:t>
            </w:r>
          </w:p>
        </w:tc>
        <w:tc>
          <w:tcPr>
            <w:tcW w:w="2977" w:type="dxa"/>
            <w:vAlign w:val="center"/>
          </w:tcPr>
          <w:p w14:paraId="49A1B8A4" w14:textId="77777777" w:rsidR="008F265F" w:rsidRDefault="00A542E4">
            <w:pPr>
              <w:rPr>
                <w:rFonts w:ascii="宋体" w:hAnsi="宋体" w:cs="宋体"/>
                <w:kern w:val="0"/>
                <w:sz w:val="15"/>
                <w:szCs w:val="21"/>
              </w:rPr>
            </w:pPr>
            <w:r>
              <w:rPr>
                <w:rFonts w:ascii="宋体" w:hAnsi="宋体" w:cs="Arial"/>
                <w:bCs/>
                <w:snapToGrid w:val="0"/>
                <w:color w:val="000000"/>
                <w:sz w:val="15"/>
              </w:rPr>
              <w:t>13</w:t>
            </w:r>
            <w:r>
              <w:rPr>
                <w:rFonts w:ascii="宋体" w:hAnsi="宋体" w:cs="Arial" w:hint="eastAsia"/>
                <w:bCs/>
                <w:snapToGrid w:val="0"/>
                <w:color w:val="000000"/>
                <w:sz w:val="15"/>
              </w:rPr>
              <w:t>、 严重川崎病</w:t>
            </w:r>
          </w:p>
        </w:tc>
        <w:tc>
          <w:tcPr>
            <w:tcW w:w="2971" w:type="dxa"/>
            <w:vAlign w:val="center"/>
          </w:tcPr>
          <w:p w14:paraId="5C353DB3" w14:textId="77777777" w:rsidR="008F265F" w:rsidRDefault="00A542E4">
            <w:pPr>
              <w:rPr>
                <w:rFonts w:ascii="宋体" w:hAnsi="宋体"/>
                <w:color w:val="000000"/>
                <w:sz w:val="15"/>
                <w:szCs w:val="21"/>
              </w:rPr>
            </w:pPr>
            <w:r>
              <w:rPr>
                <w:rFonts w:ascii="宋体" w:hAnsi="宋体" w:cs="Arial"/>
                <w:bCs/>
                <w:snapToGrid w:val="0"/>
                <w:color w:val="000000"/>
                <w:sz w:val="15"/>
              </w:rPr>
              <w:t>20</w:t>
            </w:r>
            <w:r>
              <w:rPr>
                <w:rFonts w:ascii="宋体" w:hAnsi="宋体" w:cs="Arial" w:hint="eastAsia"/>
                <w:bCs/>
                <w:snapToGrid w:val="0"/>
                <w:color w:val="000000"/>
                <w:sz w:val="15"/>
              </w:rPr>
              <w:t>、 脊髓灰质炎导致的瘫痪</w:t>
            </w:r>
          </w:p>
        </w:tc>
      </w:tr>
      <w:tr w:rsidR="008F265F" w14:paraId="13F61DDA" w14:textId="77777777">
        <w:trPr>
          <w:jc w:val="center"/>
        </w:trPr>
        <w:tc>
          <w:tcPr>
            <w:tcW w:w="3114" w:type="dxa"/>
            <w:vAlign w:val="center"/>
          </w:tcPr>
          <w:p w14:paraId="13687226" w14:textId="77777777" w:rsidR="008F265F" w:rsidRDefault="00A542E4">
            <w:pPr>
              <w:rPr>
                <w:rFonts w:ascii="宋体" w:hAnsi="宋体" w:cs="宋体"/>
                <w:kern w:val="0"/>
                <w:sz w:val="15"/>
                <w:szCs w:val="21"/>
              </w:rPr>
            </w:pPr>
            <w:r>
              <w:rPr>
                <w:rFonts w:ascii="宋体" w:hAnsi="宋体" w:cs="Arial"/>
                <w:bCs/>
                <w:snapToGrid w:val="0"/>
                <w:color w:val="000000"/>
                <w:sz w:val="15"/>
              </w:rPr>
              <w:t>7</w:t>
            </w:r>
            <w:r>
              <w:rPr>
                <w:rFonts w:ascii="宋体" w:hAnsi="宋体" w:cs="Arial" w:hint="eastAsia"/>
                <w:bCs/>
                <w:snapToGrid w:val="0"/>
                <w:color w:val="000000"/>
                <w:sz w:val="15"/>
              </w:rPr>
              <w:t>、 重型再生障碍性贫血</w:t>
            </w:r>
          </w:p>
        </w:tc>
        <w:tc>
          <w:tcPr>
            <w:tcW w:w="2977" w:type="dxa"/>
            <w:vAlign w:val="center"/>
          </w:tcPr>
          <w:p w14:paraId="28EFE9CF" w14:textId="77777777" w:rsidR="008F265F" w:rsidRDefault="00A542E4">
            <w:pPr>
              <w:rPr>
                <w:rFonts w:ascii="宋体" w:hAnsi="宋体" w:cs="宋体"/>
                <w:kern w:val="0"/>
                <w:sz w:val="15"/>
                <w:szCs w:val="21"/>
              </w:rPr>
            </w:pPr>
            <w:r>
              <w:rPr>
                <w:rFonts w:ascii="宋体" w:hAnsi="宋体" w:cs="Arial"/>
                <w:bCs/>
                <w:snapToGrid w:val="0"/>
                <w:color w:val="000000"/>
                <w:sz w:val="15"/>
              </w:rPr>
              <w:t>14</w:t>
            </w:r>
            <w:r>
              <w:rPr>
                <w:rFonts w:ascii="宋体" w:hAnsi="宋体" w:cs="Arial" w:hint="eastAsia"/>
                <w:bCs/>
                <w:snapToGrid w:val="0"/>
                <w:color w:val="000000"/>
                <w:sz w:val="15"/>
              </w:rPr>
              <w:t>、 重症手足口病</w:t>
            </w:r>
          </w:p>
        </w:tc>
        <w:tc>
          <w:tcPr>
            <w:tcW w:w="2971" w:type="dxa"/>
            <w:vAlign w:val="center"/>
          </w:tcPr>
          <w:p w14:paraId="16E96C8D" w14:textId="77777777" w:rsidR="008F265F" w:rsidRDefault="008F265F">
            <w:pPr>
              <w:rPr>
                <w:rFonts w:ascii="宋体" w:hAnsi="宋体"/>
                <w:color w:val="000000"/>
                <w:sz w:val="15"/>
                <w:szCs w:val="21"/>
              </w:rPr>
            </w:pPr>
          </w:p>
        </w:tc>
      </w:tr>
      <w:tr w:rsidR="008F265F" w14:paraId="3A2E683B" w14:textId="77777777">
        <w:trPr>
          <w:jc w:val="center"/>
        </w:trPr>
        <w:tc>
          <w:tcPr>
            <w:tcW w:w="9062" w:type="dxa"/>
            <w:gridSpan w:val="3"/>
            <w:vAlign w:val="center"/>
          </w:tcPr>
          <w:p w14:paraId="63E3EE00" w14:textId="77777777" w:rsidR="008F265F" w:rsidRDefault="00A542E4">
            <w:pPr>
              <w:jc w:val="center"/>
              <w:rPr>
                <w:rFonts w:ascii="宋体" w:hAnsi="宋体"/>
                <w:color w:val="000000"/>
                <w:sz w:val="15"/>
                <w:szCs w:val="21"/>
              </w:rPr>
            </w:pPr>
            <w:r>
              <w:rPr>
                <w:rFonts w:ascii="宋体" w:hAnsi="宋体" w:cs="宋体" w:hint="eastAsia"/>
                <w:b/>
                <w:kern w:val="0"/>
                <w:szCs w:val="21"/>
              </w:rPr>
              <w:t>少儿罕见</w:t>
            </w:r>
            <w:r>
              <w:rPr>
                <w:rFonts w:ascii="宋体" w:hAnsi="宋体" w:cs="宋体"/>
                <w:b/>
                <w:kern w:val="0"/>
                <w:szCs w:val="21"/>
              </w:rPr>
              <w:t>疾病</w:t>
            </w:r>
          </w:p>
        </w:tc>
      </w:tr>
      <w:tr w:rsidR="008F265F" w14:paraId="7FCAFCEE" w14:textId="77777777">
        <w:trPr>
          <w:jc w:val="center"/>
        </w:trPr>
        <w:tc>
          <w:tcPr>
            <w:tcW w:w="3114" w:type="dxa"/>
            <w:vAlign w:val="center"/>
          </w:tcPr>
          <w:p w14:paraId="216162B9" w14:textId="77777777" w:rsidR="008F265F" w:rsidRDefault="00A542E4">
            <w:pPr>
              <w:rPr>
                <w:rFonts w:ascii="宋体" w:hAnsi="宋体" w:cs="宋体"/>
                <w:kern w:val="0"/>
                <w:sz w:val="15"/>
                <w:szCs w:val="21"/>
              </w:rPr>
            </w:pPr>
            <w:r>
              <w:rPr>
                <w:rFonts w:ascii="宋体" w:hAnsi="宋体" w:cs="Arial"/>
                <w:bCs/>
                <w:snapToGrid w:val="0"/>
                <w:color w:val="000000"/>
                <w:sz w:val="15"/>
              </w:rPr>
              <w:t>1</w:t>
            </w:r>
            <w:r>
              <w:rPr>
                <w:rFonts w:ascii="宋体" w:hAnsi="宋体" w:cs="Arial" w:hint="eastAsia"/>
                <w:bCs/>
                <w:snapToGrid w:val="0"/>
                <w:color w:val="000000"/>
                <w:sz w:val="15"/>
              </w:rPr>
              <w:t>、 肺淋巴管肌瘤病</w:t>
            </w:r>
          </w:p>
        </w:tc>
        <w:tc>
          <w:tcPr>
            <w:tcW w:w="2977" w:type="dxa"/>
            <w:vAlign w:val="center"/>
          </w:tcPr>
          <w:p w14:paraId="30150B08" w14:textId="77777777" w:rsidR="008F265F" w:rsidRDefault="00A542E4">
            <w:pPr>
              <w:rPr>
                <w:rFonts w:ascii="宋体" w:hAnsi="宋体" w:cs="宋体"/>
                <w:kern w:val="0"/>
                <w:sz w:val="15"/>
                <w:szCs w:val="21"/>
              </w:rPr>
            </w:pPr>
            <w:r>
              <w:rPr>
                <w:rFonts w:ascii="宋体" w:hAnsi="宋体" w:cs="宋体" w:hint="eastAsia"/>
                <w:kern w:val="0"/>
                <w:sz w:val="15"/>
                <w:szCs w:val="21"/>
              </w:rPr>
              <w:t>8、 视神经脊髓炎（Neuromyelitis optica，NMO)</w:t>
            </w:r>
          </w:p>
        </w:tc>
        <w:tc>
          <w:tcPr>
            <w:tcW w:w="2971" w:type="dxa"/>
            <w:vAlign w:val="center"/>
          </w:tcPr>
          <w:p w14:paraId="3254F1BF" w14:textId="77777777" w:rsidR="008F265F" w:rsidRDefault="00A542E4">
            <w:pPr>
              <w:rPr>
                <w:rFonts w:ascii="宋体" w:hAnsi="宋体"/>
                <w:color w:val="000000"/>
                <w:sz w:val="15"/>
                <w:szCs w:val="21"/>
              </w:rPr>
            </w:pPr>
            <w:r>
              <w:rPr>
                <w:rFonts w:ascii="宋体" w:hAnsi="宋体"/>
                <w:color w:val="000000"/>
                <w:sz w:val="15"/>
                <w:szCs w:val="21"/>
              </w:rPr>
              <w:t>15、</w:t>
            </w:r>
            <w:r>
              <w:rPr>
                <w:rFonts w:ascii="宋体" w:hAnsi="宋体" w:hint="eastAsia"/>
                <w:color w:val="000000"/>
                <w:sz w:val="15"/>
                <w:szCs w:val="21"/>
              </w:rPr>
              <w:t xml:space="preserve"> 严重脊髓小脑共济失调/脊髓小脑变性症——</w:t>
            </w:r>
            <w:r w:rsidRPr="00FD5F2C">
              <w:rPr>
                <w:rFonts w:ascii="宋体" w:hAnsi="宋体" w:hint="eastAsia"/>
                <w:color w:val="000000"/>
                <w:sz w:val="15"/>
                <w:szCs w:val="21"/>
                <w:shd w:val="pct15" w:color="auto" w:fill="FFFFFF"/>
              </w:rPr>
              <w:t>二十二周岁前理赔</w:t>
            </w:r>
          </w:p>
        </w:tc>
      </w:tr>
      <w:tr w:rsidR="008F265F" w14:paraId="1F7A3C3A" w14:textId="77777777">
        <w:trPr>
          <w:jc w:val="center"/>
        </w:trPr>
        <w:tc>
          <w:tcPr>
            <w:tcW w:w="3114" w:type="dxa"/>
            <w:vAlign w:val="center"/>
          </w:tcPr>
          <w:p w14:paraId="295640C8" w14:textId="77777777" w:rsidR="008F265F" w:rsidRDefault="00A542E4">
            <w:pPr>
              <w:rPr>
                <w:rFonts w:ascii="宋体" w:hAnsi="宋体" w:cs="宋体"/>
                <w:kern w:val="0"/>
                <w:sz w:val="15"/>
                <w:szCs w:val="21"/>
              </w:rPr>
            </w:pPr>
            <w:r>
              <w:rPr>
                <w:rFonts w:ascii="宋体" w:hAnsi="宋体" w:cs="宋体" w:hint="eastAsia"/>
                <w:kern w:val="0"/>
                <w:sz w:val="15"/>
                <w:szCs w:val="21"/>
              </w:rPr>
              <w:t>2、 肺泡蛋白沉积症</w:t>
            </w:r>
          </w:p>
        </w:tc>
        <w:tc>
          <w:tcPr>
            <w:tcW w:w="2977" w:type="dxa"/>
            <w:vAlign w:val="center"/>
          </w:tcPr>
          <w:p w14:paraId="6CFFF81E" w14:textId="77777777" w:rsidR="008F265F" w:rsidRDefault="00A542E4">
            <w:pPr>
              <w:rPr>
                <w:rFonts w:ascii="宋体" w:hAnsi="宋体" w:cs="宋体"/>
                <w:kern w:val="0"/>
                <w:sz w:val="15"/>
                <w:szCs w:val="21"/>
              </w:rPr>
            </w:pPr>
            <w:r>
              <w:rPr>
                <w:rFonts w:ascii="宋体" w:hAnsi="宋体" w:hint="eastAsia"/>
                <w:color w:val="000000"/>
                <w:sz w:val="15"/>
                <w:szCs w:val="21"/>
              </w:rPr>
              <w:t xml:space="preserve">9、 </w:t>
            </w:r>
            <w:r>
              <w:rPr>
                <w:rFonts w:ascii="宋体" w:hAnsi="宋体" w:cs="宋体" w:hint="eastAsia"/>
                <w:kern w:val="0"/>
                <w:sz w:val="15"/>
                <w:szCs w:val="21"/>
              </w:rPr>
              <w:t>尼曼皮克病</w:t>
            </w:r>
          </w:p>
        </w:tc>
        <w:tc>
          <w:tcPr>
            <w:tcW w:w="2971" w:type="dxa"/>
            <w:vAlign w:val="center"/>
          </w:tcPr>
          <w:p w14:paraId="32DE9155" w14:textId="77777777" w:rsidR="008F265F" w:rsidRDefault="00A542E4">
            <w:pPr>
              <w:rPr>
                <w:rFonts w:ascii="宋体" w:hAnsi="宋体"/>
                <w:color w:val="000000"/>
                <w:sz w:val="15"/>
                <w:szCs w:val="21"/>
              </w:rPr>
            </w:pPr>
            <w:r>
              <w:rPr>
                <w:rFonts w:ascii="宋体" w:hAnsi="宋体"/>
                <w:color w:val="000000"/>
                <w:sz w:val="15"/>
                <w:szCs w:val="21"/>
              </w:rPr>
              <w:t>16、</w:t>
            </w:r>
            <w:r>
              <w:rPr>
                <w:rFonts w:ascii="宋体" w:hAnsi="宋体" w:hint="eastAsia"/>
                <w:color w:val="000000"/>
                <w:sz w:val="15"/>
                <w:szCs w:val="21"/>
              </w:rPr>
              <w:t xml:space="preserve"> Castleman病</w:t>
            </w:r>
          </w:p>
        </w:tc>
      </w:tr>
      <w:tr w:rsidR="008F265F" w14:paraId="00907F05" w14:textId="77777777">
        <w:trPr>
          <w:jc w:val="center"/>
        </w:trPr>
        <w:tc>
          <w:tcPr>
            <w:tcW w:w="3114" w:type="dxa"/>
            <w:vAlign w:val="center"/>
          </w:tcPr>
          <w:p w14:paraId="2F654873" w14:textId="77777777" w:rsidR="008F265F" w:rsidRDefault="00A542E4">
            <w:pPr>
              <w:rPr>
                <w:rFonts w:ascii="宋体" w:hAnsi="宋体" w:cs="宋体"/>
                <w:kern w:val="0"/>
                <w:sz w:val="15"/>
                <w:szCs w:val="21"/>
              </w:rPr>
            </w:pPr>
            <w:r>
              <w:rPr>
                <w:rFonts w:ascii="宋体" w:hAnsi="宋体" w:cs="宋体" w:hint="eastAsia"/>
                <w:kern w:val="0"/>
                <w:sz w:val="15"/>
                <w:szCs w:val="21"/>
              </w:rPr>
              <w:t>3、 脑型疟疾</w:t>
            </w:r>
          </w:p>
        </w:tc>
        <w:tc>
          <w:tcPr>
            <w:tcW w:w="2977" w:type="dxa"/>
            <w:vAlign w:val="center"/>
          </w:tcPr>
          <w:p w14:paraId="5B993346"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0</w:t>
            </w:r>
            <w:r>
              <w:rPr>
                <w:rFonts w:ascii="宋体" w:hAnsi="宋体" w:hint="eastAsia"/>
                <w:color w:val="000000"/>
                <w:sz w:val="15"/>
                <w:szCs w:val="21"/>
              </w:rPr>
              <w:t>、 阵发性睡眠性血红蛋白尿——</w:t>
            </w:r>
            <w:r w:rsidRPr="00FD5F2C">
              <w:rPr>
                <w:rFonts w:ascii="宋体" w:hAnsi="宋体" w:hint="eastAsia"/>
                <w:color w:val="000000"/>
                <w:sz w:val="15"/>
                <w:szCs w:val="21"/>
                <w:shd w:val="pct15" w:color="auto" w:fill="FFFFFF"/>
              </w:rPr>
              <w:t>二十二周岁前理赔</w:t>
            </w:r>
          </w:p>
        </w:tc>
        <w:tc>
          <w:tcPr>
            <w:tcW w:w="2971" w:type="dxa"/>
            <w:vAlign w:val="center"/>
          </w:tcPr>
          <w:p w14:paraId="1F50F9EB" w14:textId="77777777" w:rsidR="008F265F" w:rsidRDefault="00A542E4">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7、</w:t>
            </w:r>
            <w:r>
              <w:rPr>
                <w:rFonts w:ascii="宋体" w:hAnsi="宋体" w:hint="eastAsia"/>
                <w:color w:val="000000"/>
                <w:sz w:val="15"/>
                <w:szCs w:val="21"/>
              </w:rPr>
              <w:t xml:space="preserve"> Erdheim-Chester病</w:t>
            </w:r>
          </w:p>
        </w:tc>
      </w:tr>
      <w:tr w:rsidR="008F265F" w14:paraId="3378A393" w14:textId="77777777">
        <w:trPr>
          <w:jc w:val="center"/>
        </w:trPr>
        <w:tc>
          <w:tcPr>
            <w:tcW w:w="3114" w:type="dxa"/>
            <w:vAlign w:val="center"/>
          </w:tcPr>
          <w:p w14:paraId="4265A3B4" w14:textId="77777777" w:rsidR="008F265F" w:rsidRDefault="00A542E4">
            <w:pPr>
              <w:rPr>
                <w:rFonts w:ascii="宋体" w:hAnsi="宋体" w:cs="宋体"/>
                <w:kern w:val="0"/>
                <w:sz w:val="15"/>
                <w:szCs w:val="21"/>
              </w:rPr>
            </w:pPr>
            <w:r>
              <w:rPr>
                <w:rFonts w:ascii="宋体" w:hAnsi="宋体" w:cs="宋体"/>
                <w:kern w:val="0"/>
                <w:sz w:val="15"/>
                <w:szCs w:val="21"/>
              </w:rPr>
              <w:t>4</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脊髓内肿瘤</w:t>
            </w:r>
          </w:p>
        </w:tc>
        <w:tc>
          <w:tcPr>
            <w:tcW w:w="2977" w:type="dxa"/>
            <w:vAlign w:val="center"/>
          </w:tcPr>
          <w:p w14:paraId="504615C5" w14:textId="77777777" w:rsidR="008F265F" w:rsidRDefault="00A542E4">
            <w:pPr>
              <w:rPr>
                <w:rFonts w:ascii="宋体" w:hAnsi="宋体" w:cs="宋体"/>
                <w:kern w:val="0"/>
                <w:sz w:val="15"/>
                <w:szCs w:val="21"/>
              </w:rPr>
            </w:pPr>
            <w:r>
              <w:rPr>
                <w:rFonts w:ascii="宋体" w:hAnsi="宋体"/>
                <w:color w:val="000000"/>
                <w:sz w:val="15"/>
                <w:szCs w:val="21"/>
              </w:rPr>
              <w:t>11</w:t>
            </w:r>
            <w:r>
              <w:rPr>
                <w:rFonts w:ascii="宋体" w:hAnsi="宋体" w:hint="eastAsia"/>
                <w:color w:val="000000"/>
                <w:sz w:val="15"/>
                <w:szCs w:val="21"/>
              </w:rPr>
              <w:t>、 黑斑息肉综合征</w:t>
            </w:r>
          </w:p>
        </w:tc>
        <w:tc>
          <w:tcPr>
            <w:tcW w:w="2971" w:type="dxa"/>
            <w:vAlign w:val="center"/>
          </w:tcPr>
          <w:p w14:paraId="2BBE02A8" w14:textId="77777777" w:rsidR="008F265F" w:rsidRDefault="00A542E4">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8、</w:t>
            </w:r>
            <w:r>
              <w:rPr>
                <w:rFonts w:ascii="宋体" w:hAnsi="宋体" w:hint="eastAsia"/>
                <w:color w:val="000000"/>
                <w:sz w:val="15"/>
                <w:szCs w:val="21"/>
              </w:rPr>
              <w:t xml:space="preserve"> McCune-Albright综合征</w:t>
            </w:r>
          </w:p>
        </w:tc>
      </w:tr>
      <w:tr w:rsidR="008F265F" w14:paraId="0F3A8C7B" w14:textId="77777777">
        <w:trPr>
          <w:jc w:val="center"/>
        </w:trPr>
        <w:tc>
          <w:tcPr>
            <w:tcW w:w="3114" w:type="dxa"/>
            <w:vAlign w:val="center"/>
          </w:tcPr>
          <w:p w14:paraId="36280F40" w14:textId="77777777" w:rsidR="008F265F" w:rsidRDefault="00A542E4">
            <w:pPr>
              <w:rPr>
                <w:rFonts w:ascii="宋体" w:hAnsi="宋体" w:cs="宋体"/>
                <w:kern w:val="0"/>
                <w:sz w:val="15"/>
                <w:szCs w:val="21"/>
              </w:rPr>
            </w:pPr>
            <w:r>
              <w:rPr>
                <w:rFonts w:ascii="宋体" w:hAnsi="宋体" w:cs="宋体" w:hint="eastAsia"/>
                <w:kern w:val="0"/>
                <w:sz w:val="15"/>
                <w:szCs w:val="21"/>
              </w:rPr>
              <w:t xml:space="preserve">5、 </w:t>
            </w:r>
            <w:r>
              <w:rPr>
                <w:rFonts w:ascii="宋体" w:hAnsi="宋体" w:hint="eastAsia"/>
                <w:color w:val="000000"/>
                <w:sz w:val="15"/>
                <w:szCs w:val="21"/>
              </w:rPr>
              <w:t>范可尼综合征</w:t>
            </w:r>
            <w:r>
              <w:rPr>
                <w:rFonts w:ascii="宋体" w:hAnsi="宋体" w:cs="宋体" w:hint="eastAsia"/>
                <w:kern w:val="0"/>
                <w:sz w:val="15"/>
                <w:szCs w:val="21"/>
              </w:rPr>
              <w:t>（Fanconi综合征）——</w:t>
            </w:r>
            <w:r w:rsidRPr="00FD5F2C">
              <w:rPr>
                <w:rFonts w:ascii="宋体" w:hAnsi="宋体" w:cs="宋体" w:hint="eastAsia"/>
                <w:kern w:val="0"/>
                <w:sz w:val="15"/>
                <w:szCs w:val="21"/>
                <w:shd w:val="pct15" w:color="auto" w:fill="FFFFFF"/>
              </w:rPr>
              <w:t>三周岁后始理赔</w:t>
            </w:r>
          </w:p>
        </w:tc>
        <w:tc>
          <w:tcPr>
            <w:tcW w:w="2977" w:type="dxa"/>
            <w:vAlign w:val="center"/>
          </w:tcPr>
          <w:p w14:paraId="39DDE3B7"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w:t>
            </w:r>
            <w:r>
              <w:rPr>
                <w:rFonts w:ascii="宋体" w:hAnsi="宋体" w:hint="eastAsia"/>
                <w:color w:val="000000"/>
                <w:sz w:val="15"/>
                <w:szCs w:val="21"/>
              </w:rPr>
              <w:t xml:space="preserve"> POEMS综合征</w:t>
            </w:r>
          </w:p>
        </w:tc>
        <w:tc>
          <w:tcPr>
            <w:tcW w:w="2971" w:type="dxa"/>
            <w:vAlign w:val="center"/>
          </w:tcPr>
          <w:p w14:paraId="1075B8AD" w14:textId="77777777" w:rsidR="008F265F" w:rsidRDefault="00A542E4">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9、</w:t>
            </w:r>
            <w:r>
              <w:rPr>
                <w:rFonts w:ascii="宋体" w:hAnsi="宋体" w:hint="eastAsia"/>
                <w:color w:val="000000"/>
                <w:sz w:val="15"/>
                <w:szCs w:val="21"/>
              </w:rPr>
              <w:t xml:space="preserve"> 多灶性运动神经病</w:t>
            </w:r>
          </w:p>
        </w:tc>
      </w:tr>
      <w:tr w:rsidR="008F265F" w14:paraId="085C3DB9" w14:textId="77777777">
        <w:trPr>
          <w:jc w:val="center"/>
        </w:trPr>
        <w:tc>
          <w:tcPr>
            <w:tcW w:w="3114" w:type="dxa"/>
            <w:vAlign w:val="center"/>
          </w:tcPr>
          <w:p w14:paraId="542C1709" w14:textId="77777777" w:rsidR="008F265F" w:rsidRDefault="00A542E4">
            <w:pPr>
              <w:rPr>
                <w:rFonts w:ascii="宋体" w:hAnsi="宋体" w:cs="宋体"/>
                <w:kern w:val="0"/>
                <w:sz w:val="15"/>
                <w:szCs w:val="21"/>
              </w:rPr>
            </w:pPr>
            <w:r>
              <w:rPr>
                <w:rFonts w:ascii="宋体" w:hAnsi="宋体" w:cs="宋体" w:hint="eastAsia"/>
                <w:kern w:val="0"/>
                <w:sz w:val="15"/>
                <w:szCs w:val="21"/>
              </w:rPr>
              <w:t>6、 艾森门格综合征</w:t>
            </w:r>
          </w:p>
        </w:tc>
        <w:tc>
          <w:tcPr>
            <w:tcW w:w="2977" w:type="dxa"/>
            <w:vAlign w:val="center"/>
          </w:tcPr>
          <w:p w14:paraId="3A7C91A1"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3、</w:t>
            </w:r>
            <w:r>
              <w:rPr>
                <w:rFonts w:ascii="宋体" w:hAnsi="宋体" w:hint="eastAsia"/>
                <w:color w:val="000000"/>
                <w:sz w:val="15"/>
                <w:szCs w:val="21"/>
              </w:rPr>
              <w:t xml:space="preserve"> 进行性家族性肝内胆汁淤积症</w:t>
            </w:r>
          </w:p>
        </w:tc>
        <w:tc>
          <w:tcPr>
            <w:tcW w:w="2971" w:type="dxa"/>
            <w:vAlign w:val="center"/>
          </w:tcPr>
          <w:p w14:paraId="57EBB3C4" w14:textId="77777777" w:rsidR="008F265F" w:rsidRDefault="00A542E4">
            <w:pPr>
              <w:rPr>
                <w:rFonts w:ascii="宋体" w:hAnsi="宋体"/>
                <w:color w:val="000000"/>
                <w:sz w:val="15"/>
                <w:szCs w:val="21"/>
              </w:rPr>
            </w:pPr>
            <w:r>
              <w:rPr>
                <w:rFonts w:ascii="宋体" w:hAnsi="宋体"/>
                <w:color w:val="000000"/>
                <w:sz w:val="15"/>
                <w:szCs w:val="21"/>
              </w:rPr>
              <w:t>20、</w:t>
            </w:r>
            <w:r>
              <w:rPr>
                <w:rFonts w:ascii="宋体" w:hAnsi="宋体" w:hint="eastAsia"/>
                <w:color w:val="000000"/>
                <w:sz w:val="15"/>
                <w:szCs w:val="21"/>
              </w:rPr>
              <w:t xml:space="preserve"> 严重原发性轻链型淀粉样变性（AL型）</w:t>
            </w:r>
          </w:p>
        </w:tc>
      </w:tr>
      <w:tr w:rsidR="008F265F" w14:paraId="52CEF03D" w14:textId="77777777">
        <w:trPr>
          <w:jc w:val="center"/>
        </w:trPr>
        <w:tc>
          <w:tcPr>
            <w:tcW w:w="3114" w:type="dxa"/>
            <w:vAlign w:val="center"/>
          </w:tcPr>
          <w:p w14:paraId="55B89BAD" w14:textId="77777777" w:rsidR="008F265F" w:rsidRDefault="00A542E4">
            <w:pPr>
              <w:rPr>
                <w:rFonts w:ascii="宋体" w:hAnsi="宋体" w:cs="宋体"/>
                <w:kern w:val="0"/>
                <w:sz w:val="15"/>
                <w:szCs w:val="21"/>
              </w:rPr>
            </w:pPr>
            <w:r>
              <w:rPr>
                <w:rFonts w:ascii="宋体" w:hAnsi="宋体" w:cs="宋体" w:hint="eastAsia"/>
                <w:kern w:val="0"/>
                <w:sz w:val="15"/>
                <w:szCs w:val="21"/>
              </w:rPr>
              <w:t xml:space="preserve">7、 </w:t>
            </w:r>
            <w:r>
              <w:rPr>
                <w:rFonts w:ascii="宋体" w:hAnsi="宋体" w:hint="eastAsia"/>
                <w:color w:val="000000"/>
                <w:sz w:val="15"/>
                <w:szCs w:val="21"/>
              </w:rPr>
              <w:t>热纳综合征（窒息性胸腔失养症）(Turner Syndrome）</w:t>
            </w:r>
          </w:p>
        </w:tc>
        <w:tc>
          <w:tcPr>
            <w:tcW w:w="2977" w:type="dxa"/>
            <w:vAlign w:val="center"/>
          </w:tcPr>
          <w:p w14:paraId="263921E7" w14:textId="77777777" w:rsidR="008F265F" w:rsidRDefault="00A542E4">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4、</w:t>
            </w:r>
            <w:r>
              <w:rPr>
                <w:rFonts w:ascii="宋体" w:hAnsi="宋体" w:hint="eastAsia"/>
                <w:color w:val="000000"/>
                <w:sz w:val="15"/>
                <w:szCs w:val="21"/>
              </w:rPr>
              <w:t xml:space="preserve"> 谷固醇血症</w:t>
            </w:r>
          </w:p>
        </w:tc>
        <w:tc>
          <w:tcPr>
            <w:tcW w:w="2971" w:type="dxa"/>
            <w:vAlign w:val="center"/>
          </w:tcPr>
          <w:p w14:paraId="78D65D87" w14:textId="77777777" w:rsidR="008F265F" w:rsidRDefault="008F265F">
            <w:pPr>
              <w:rPr>
                <w:rFonts w:ascii="宋体" w:hAnsi="宋体"/>
                <w:color w:val="000000"/>
                <w:sz w:val="15"/>
                <w:szCs w:val="21"/>
              </w:rPr>
            </w:pPr>
          </w:p>
        </w:tc>
      </w:tr>
    </w:tbl>
    <w:p w14:paraId="67E33916" w14:textId="77777777" w:rsidR="008F265F" w:rsidRDefault="008F265F">
      <w:pPr>
        <w:widowControl/>
        <w:rPr>
          <w:rFonts w:ascii="宋体" w:hAnsi="宋体"/>
          <w:b/>
          <w:bCs/>
        </w:rPr>
      </w:pPr>
    </w:p>
    <w:p w14:paraId="1311F489" w14:textId="77777777" w:rsidR="008F265F" w:rsidRDefault="008F265F">
      <w:pPr>
        <w:widowControl/>
        <w:rPr>
          <w:rFonts w:ascii="宋体" w:hAnsi="宋体"/>
          <w:b/>
          <w:bCs/>
        </w:rPr>
      </w:pPr>
    </w:p>
    <w:p w14:paraId="32DEE2B1" w14:textId="77777777" w:rsidR="008F265F" w:rsidRDefault="00A542E4">
      <w:pPr>
        <w:autoSpaceDE w:val="0"/>
        <w:autoSpaceDN w:val="0"/>
        <w:adjustRightInd w:val="0"/>
        <w:spacing w:beforeLines="50" w:before="156"/>
        <w:ind w:firstLineChars="200" w:firstLine="422"/>
        <w:rPr>
          <w:rFonts w:ascii="宋体" w:hAnsi="宋体" w:cs="Arial"/>
          <w:snapToGrid w:val="0"/>
          <w:color w:val="000000"/>
        </w:rPr>
      </w:pPr>
      <w:r>
        <w:rPr>
          <w:rFonts w:ascii="宋体" w:hAnsi="宋体" w:cs="Arial" w:hint="eastAsia"/>
          <w:b/>
          <w:bCs/>
          <w:snapToGrid w:val="0"/>
          <w:color w:val="000000"/>
        </w:rPr>
        <w:t>附表二：</w:t>
      </w:r>
    </w:p>
    <w:p w14:paraId="2BAB7F9C" w14:textId="77777777" w:rsidR="008F265F" w:rsidRDefault="00A542E4">
      <w:pPr>
        <w:autoSpaceDE w:val="0"/>
        <w:autoSpaceDN w:val="0"/>
        <w:adjustRightInd w:val="0"/>
        <w:spacing w:beforeLines="50" w:before="156"/>
        <w:jc w:val="center"/>
        <w:rPr>
          <w:rFonts w:ascii="宋体" w:hAnsi="宋体" w:cs="Arial"/>
          <w:snapToGrid w:val="0"/>
          <w:color w:val="000000"/>
        </w:rPr>
      </w:pPr>
      <w:r>
        <w:rPr>
          <w:rFonts w:ascii="宋体" w:hAnsi="宋体" w:cs="Arial"/>
          <w:b/>
          <w:bCs/>
          <w:snapToGrid w:val="0"/>
          <w:color w:val="000000"/>
        </w:rPr>
        <w:t>招商局仁和人寿保险股份有限公司</w:t>
      </w:r>
    </w:p>
    <w:p w14:paraId="6D4B5F4F" w14:textId="77777777" w:rsidR="008F265F" w:rsidRDefault="00A542E4">
      <w:pPr>
        <w:widowControl/>
        <w:spacing w:afterLines="50" w:after="156"/>
        <w:jc w:val="center"/>
        <w:rPr>
          <w:rFonts w:ascii="宋体" w:hAnsi="宋体" w:cs="Arial"/>
          <w:b/>
          <w:bCs/>
          <w:snapToGrid w:val="0"/>
          <w:color w:val="000000"/>
        </w:rPr>
      </w:pPr>
      <w:r>
        <w:rPr>
          <w:rFonts w:ascii="宋体" w:hAnsi="宋体" w:cs="Arial" w:hint="eastAsia"/>
          <w:b/>
          <w:bCs/>
          <w:snapToGrid w:val="0"/>
          <w:color w:val="000000"/>
        </w:rPr>
        <w:t>招商仁和仁心保贝3号重大疾病保险</w:t>
      </w:r>
      <w:r>
        <w:rPr>
          <w:rFonts w:ascii="宋体" w:hAnsi="宋体" w:cs="Arial"/>
          <w:b/>
          <w:bCs/>
          <w:snapToGrid w:val="0"/>
          <w:color w:val="000000"/>
        </w:rPr>
        <w:t>A</w:t>
      </w:r>
      <w:r>
        <w:rPr>
          <w:rFonts w:ascii="宋体" w:hAnsi="宋体" w:cs="Arial" w:hint="eastAsia"/>
          <w:b/>
          <w:bCs/>
          <w:snapToGrid w:val="0"/>
          <w:color w:val="000000"/>
        </w:rPr>
        <w:t>款（互联网）重大疾病及中症疾病和轻症疾病除外对应表</w:t>
      </w:r>
    </w:p>
    <w:tbl>
      <w:tblPr>
        <w:tblStyle w:val="ae"/>
        <w:tblW w:w="9062" w:type="dxa"/>
        <w:tblLayout w:type="fixed"/>
        <w:tblLook w:val="04A0" w:firstRow="1" w:lastRow="0" w:firstColumn="1" w:lastColumn="0" w:noHBand="0" w:noVBand="1"/>
      </w:tblPr>
      <w:tblGrid>
        <w:gridCol w:w="988"/>
        <w:gridCol w:w="3969"/>
        <w:gridCol w:w="4105"/>
      </w:tblGrid>
      <w:tr w:rsidR="008F265F" w14:paraId="62FF403A" w14:textId="77777777">
        <w:tc>
          <w:tcPr>
            <w:tcW w:w="988" w:type="dxa"/>
          </w:tcPr>
          <w:p w14:paraId="7F943928" w14:textId="77777777" w:rsidR="008F265F" w:rsidRDefault="00A542E4">
            <w:pPr>
              <w:jc w:val="center"/>
              <w:rPr>
                <w:rFonts w:ascii="宋体" w:hAnsi="宋体" w:cs="宋体"/>
                <w:b/>
                <w:kern w:val="0"/>
                <w:szCs w:val="21"/>
              </w:rPr>
            </w:pPr>
            <w:r>
              <w:rPr>
                <w:rFonts w:ascii="宋体" w:hAnsi="宋体" w:cs="宋体" w:hint="eastAsia"/>
                <w:b/>
                <w:kern w:val="0"/>
                <w:szCs w:val="21"/>
              </w:rPr>
              <w:t>组别</w:t>
            </w:r>
          </w:p>
        </w:tc>
        <w:tc>
          <w:tcPr>
            <w:tcW w:w="3969" w:type="dxa"/>
          </w:tcPr>
          <w:p w14:paraId="74619D41" w14:textId="77777777" w:rsidR="008F265F" w:rsidRDefault="00A542E4">
            <w:pPr>
              <w:jc w:val="center"/>
              <w:rPr>
                <w:rFonts w:ascii="宋体" w:hAnsi="宋体" w:cs="宋体"/>
                <w:b/>
                <w:kern w:val="0"/>
                <w:szCs w:val="21"/>
              </w:rPr>
            </w:pPr>
            <w:r>
              <w:rPr>
                <w:rFonts w:ascii="宋体" w:hAnsi="宋体" w:cs="宋体" w:hint="eastAsia"/>
                <w:b/>
                <w:kern w:val="0"/>
                <w:szCs w:val="21"/>
              </w:rPr>
              <w:t>重大疾病</w:t>
            </w:r>
          </w:p>
        </w:tc>
        <w:tc>
          <w:tcPr>
            <w:tcW w:w="4105" w:type="dxa"/>
          </w:tcPr>
          <w:p w14:paraId="5FDAABD7" w14:textId="77777777" w:rsidR="008F265F" w:rsidRDefault="00A542E4">
            <w:pPr>
              <w:jc w:val="center"/>
              <w:rPr>
                <w:rFonts w:ascii="宋体" w:hAnsi="宋体" w:cs="宋体"/>
                <w:b/>
                <w:kern w:val="0"/>
                <w:szCs w:val="21"/>
              </w:rPr>
            </w:pPr>
            <w:r>
              <w:rPr>
                <w:rFonts w:ascii="宋体" w:hAnsi="宋体" w:cs="宋体" w:hint="eastAsia"/>
                <w:b/>
                <w:kern w:val="0"/>
                <w:szCs w:val="21"/>
              </w:rPr>
              <w:t>中症疾病和轻症疾病</w:t>
            </w:r>
          </w:p>
        </w:tc>
      </w:tr>
      <w:tr w:rsidR="008F265F" w14:paraId="41CDB7D9" w14:textId="77777777">
        <w:tc>
          <w:tcPr>
            <w:tcW w:w="988" w:type="dxa"/>
            <w:vAlign w:val="center"/>
          </w:tcPr>
          <w:p w14:paraId="754FEB33"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第1组</w:t>
            </w:r>
          </w:p>
        </w:tc>
        <w:tc>
          <w:tcPr>
            <w:tcW w:w="3969" w:type="dxa"/>
            <w:vAlign w:val="center"/>
          </w:tcPr>
          <w:p w14:paraId="15FF0694" w14:textId="77777777" w:rsidR="008F265F" w:rsidRDefault="00A542E4">
            <w:pPr>
              <w:rPr>
                <w:rFonts w:ascii="宋体" w:hAnsi="宋体" w:cs="宋体"/>
                <w:kern w:val="0"/>
                <w:sz w:val="15"/>
                <w:szCs w:val="21"/>
              </w:rPr>
            </w:pPr>
            <w:r>
              <w:rPr>
                <w:rFonts w:ascii="宋体" w:hAnsi="宋体" w:cs="宋体" w:hint="eastAsia"/>
                <w:kern w:val="0"/>
                <w:sz w:val="15"/>
                <w:szCs w:val="21"/>
              </w:rPr>
              <w:t>1、恶性肿瘤——重度</w:t>
            </w:r>
          </w:p>
        </w:tc>
        <w:tc>
          <w:tcPr>
            <w:tcW w:w="4105" w:type="dxa"/>
          </w:tcPr>
          <w:p w14:paraId="73AC29C3" w14:textId="77777777" w:rsidR="008F265F" w:rsidRDefault="00A542E4">
            <w:pPr>
              <w:rPr>
                <w:rFonts w:ascii="宋体" w:hAnsi="宋体" w:cs="宋体"/>
                <w:kern w:val="0"/>
                <w:sz w:val="15"/>
                <w:szCs w:val="21"/>
              </w:rPr>
            </w:pPr>
            <w:r>
              <w:rPr>
                <w:rFonts w:ascii="宋体" w:hAnsi="宋体" w:cs="宋体" w:hint="eastAsia"/>
                <w:kern w:val="0"/>
                <w:sz w:val="15"/>
                <w:szCs w:val="21"/>
              </w:rPr>
              <w:t>1、恶性肿瘤</w:t>
            </w:r>
            <w:r>
              <w:rPr>
                <w:rFonts w:ascii="宋体" w:eastAsiaTheme="minorEastAsia" w:hAnsi="宋体" w:hint="eastAsia"/>
                <w:color w:val="000000"/>
                <w:sz w:val="15"/>
                <w:szCs w:val="20"/>
              </w:rPr>
              <w:t>——轻度</w:t>
            </w:r>
          </w:p>
          <w:p w14:paraId="2ECB216A" w14:textId="77777777" w:rsidR="008F265F" w:rsidRDefault="00A542E4">
            <w:pPr>
              <w:rPr>
                <w:rFonts w:ascii="宋体" w:hAnsi="宋体" w:cs="宋体"/>
                <w:kern w:val="0"/>
                <w:sz w:val="15"/>
                <w:szCs w:val="21"/>
              </w:rPr>
            </w:pPr>
            <w:r>
              <w:rPr>
                <w:rFonts w:ascii="宋体" w:hAnsi="宋体" w:cs="宋体" w:hint="eastAsia"/>
                <w:kern w:val="0"/>
                <w:sz w:val="15"/>
                <w:szCs w:val="21"/>
              </w:rPr>
              <w:t>2、原位癌</w:t>
            </w:r>
          </w:p>
        </w:tc>
      </w:tr>
      <w:tr w:rsidR="008F265F" w14:paraId="4C49563E" w14:textId="77777777">
        <w:tc>
          <w:tcPr>
            <w:tcW w:w="988" w:type="dxa"/>
            <w:vAlign w:val="center"/>
          </w:tcPr>
          <w:p w14:paraId="0C12DF98"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第2组</w:t>
            </w:r>
          </w:p>
        </w:tc>
        <w:tc>
          <w:tcPr>
            <w:tcW w:w="3969" w:type="dxa"/>
            <w:vAlign w:val="center"/>
          </w:tcPr>
          <w:p w14:paraId="4B1882F0" w14:textId="77777777" w:rsidR="008F265F" w:rsidRDefault="00A542E4">
            <w:pPr>
              <w:rPr>
                <w:rFonts w:ascii="宋体" w:hAnsi="宋体" w:cs="宋体"/>
                <w:kern w:val="0"/>
                <w:sz w:val="15"/>
                <w:szCs w:val="21"/>
              </w:rPr>
            </w:pPr>
            <w:r>
              <w:rPr>
                <w:rFonts w:ascii="宋体" w:hAnsi="宋体" w:cs="宋体" w:hint="eastAsia"/>
                <w:kern w:val="0"/>
                <w:sz w:val="15"/>
                <w:szCs w:val="21"/>
              </w:rPr>
              <w:t>1、较重急性心肌梗死</w:t>
            </w:r>
          </w:p>
          <w:p w14:paraId="06641E49" w14:textId="77777777" w:rsidR="008F265F" w:rsidRDefault="00A542E4">
            <w:pPr>
              <w:rPr>
                <w:rFonts w:ascii="宋体" w:hAnsi="宋体" w:cs="宋体"/>
                <w:kern w:val="0"/>
                <w:sz w:val="15"/>
                <w:szCs w:val="21"/>
              </w:rPr>
            </w:pPr>
            <w:r>
              <w:rPr>
                <w:rFonts w:ascii="宋体" w:hAnsi="宋体" w:cs="宋体" w:hint="eastAsia"/>
                <w:kern w:val="0"/>
                <w:sz w:val="15"/>
                <w:szCs w:val="21"/>
              </w:rPr>
              <w:t>2、冠状动脉搭桥术（或称冠状动脉旁路移植术）</w:t>
            </w:r>
          </w:p>
        </w:tc>
        <w:tc>
          <w:tcPr>
            <w:tcW w:w="4105" w:type="dxa"/>
          </w:tcPr>
          <w:p w14:paraId="49EA9BFA" w14:textId="77777777" w:rsidR="008F265F" w:rsidRDefault="00A542E4">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、冠状动脉介入手术</w:t>
            </w:r>
          </w:p>
          <w:p w14:paraId="486EAE45" w14:textId="77777777" w:rsidR="008F265F" w:rsidRDefault="00A542E4">
            <w:pPr>
              <w:rPr>
                <w:rFonts w:ascii="宋体" w:hAnsi="宋体" w:cs="宋体"/>
                <w:kern w:val="0"/>
                <w:sz w:val="15"/>
                <w:szCs w:val="21"/>
              </w:rPr>
            </w:pPr>
            <w:r>
              <w:rPr>
                <w:rFonts w:ascii="宋体" w:hAnsi="宋体" w:cs="宋体"/>
                <w:kern w:val="0"/>
                <w:sz w:val="15"/>
                <w:szCs w:val="21"/>
              </w:rPr>
              <w:t>2</w:t>
            </w:r>
            <w:r>
              <w:rPr>
                <w:rFonts w:ascii="宋体" w:hAnsi="宋体" w:cs="宋体" w:hint="eastAsia"/>
                <w:kern w:val="0"/>
                <w:sz w:val="15"/>
                <w:szCs w:val="21"/>
              </w:rPr>
              <w:t>、较轻急性心肌梗死</w:t>
            </w:r>
          </w:p>
          <w:p w14:paraId="59206ED9" w14:textId="77777777" w:rsidR="008F265F" w:rsidRDefault="00A542E4">
            <w:pPr>
              <w:rPr>
                <w:rFonts w:ascii="宋体" w:hAnsi="宋体" w:cs="宋体"/>
                <w:kern w:val="0"/>
                <w:sz w:val="15"/>
                <w:szCs w:val="21"/>
              </w:rPr>
            </w:pPr>
            <w:r>
              <w:rPr>
                <w:rFonts w:ascii="宋体" w:hAnsi="宋体" w:cs="宋体"/>
                <w:kern w:val="0"/>
                <w:sz w:val="15"/>
                <w:szCs w:val="21"/>
              </w:rPr>
              <w:t>3、</w:t>
            </w:r>
            <w:r>
              <w:rPr>
                <w:rFonts w:ascii="宋体" w:hAnsi="宋体" w:cs="宋体" w:hint="eastAsia"/>
                <w:kern w:val="0"/>
                <w:sz w:val="15"/>
                <w:szCs w:val="21"/>
              </w:rPr>
              <w:t>激光心肌血运重建术</w:t>
            </w:r>
          </w:p>
        </w:tc>
      </w:tr>
      <w:tr w:rsidR="008F265F" w14:paraId="7FF54DF1" w14:textId="77777777">
        <w:tc>
          <w:tcPr>
            <w:tcW w:w="988" w:type="dxa"/>
            <w:vAlign w:val="center"/>
          </w:tcPr>
          <w:p w14:paraId="347E7971"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3</w:t>
            </w:r>
            <w:r>
              <w:rPr>
                <w:rFonts w:ascii="宋体" w:hAnsi="宋体" w:cs="宋体" w:hint="eastAsia"/>
                <w:kern w:val="0"/>
                <w:sz w:val="15"/>
                <w:szCs w:val="21"/>
              </w:rPr>
              <w:t>组</w:t>
            </w:r>
          </w:p>
        </w:tc>
        <w:tc>
          <w:tcPr>
            <w:tcW w:w="3969" w:type="dxa"/>
            <w:vAlign w:val="center"/>
          </w:tcPr>
          <w:p w14:paraId="7305B39F" w14:textId="77777777" w:rsidR="008F265F" w:rsidRDefault="00A542E4">
            <w:pPr>
              <w:rPr>
                <w:rFonts w:ascii="宋体" w:hAnsi="宋体" w:cs="宋体"/>
                <w:kern w:val="0"/>
                <w:sz w:val="15"/>
                <w:szCs w:val="21"/>
              </w:rPr>
            </w:pPr>
            <w:r>
              <w:rPr>
                <w:rFonts w:ascii="宋体" w:hAnsi="宋体" w:cs="宋体" w:hint="eastAsia"/>
                <w:kern w:val="0"/>
                <w:sz w:val="15"/>
                <w:szCs w:val="21"/>
              </w:rPr>
              <w:t>1、严重脑中风后遗症</w:t>
            </w:r>
          </w:p>
        </w:tc>
        <w:tc>
          <w:tcPr>
            <w:tcW w:w="4105" w:type="dxa"/>
          </w:tcPr>
          <w:p w14:paraId="3CC8D738" w14:textId="77777777" w:rsidR="008F265F" w:rsidRDefault="00A542E4">
            <w:pPr>
              <w:rPr>
                <w:rFonts w:ascii="宋体" w:hAnsi="宋体" w:cs="宋体"/>
                <w:kern w:val="0"/>
                <w:sz w:val="15"/>
                <w:szCs w:val="21"/>
              </w:rPr>
            </w:pPr>
            <w:r>
              <w:rPr>
                <w:rFonts w:ascii="宋体" w:hAnsi="宋体" w:cs="宋体" w:hint="eastAsia"/>
                <w:kern w:val="0"/>
                <w:sz w:val="15"/>
                <w:szCs w:val="21"/>
              </w:rPr>
              <w:t>1、轻度脑中风后遗症</w:t>
            </w:r>
          </w:p>
        </w:tc>
      </w:tr>
      <w:tr w:rsidR="008F265F" w14:paraId="16969FF1" w14:textId="77777777">
        <w:tc>
          <w:tcPr>
            <w:tcW w:w="988" w:type="dxa"/>
            <w:vAlign w:val="center"/>
          </w:tcPr>
          <w:p w14:paraId="00BC0526"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4</w:t>
            </w:r>
            <w:r>
              <w:rPr>
                <w:rFonts w:ascii="宋体" w:hAnsi="宋体" w:cs="宋体" w:hint="eastAsia"/>
                <w:kern w:val="0"/>
                <w:sz w:val="15"/>
                <w:szCs w:val="21"/>
              </w:rPr>
              <w:t>组</w:t>
            </w:r>
          </w:p>
        </w:tc>
        <w:tc>
          <w:tcPr>
            <w:tcW w:w="3969" w:type="dxa"/>
            <w:vAlign w:val="center"/>
          </w:tcPr>
          <w:p w14:paraId="481E3A2D" w14:textId="77777777" w:rsidR="008F265F" w:rsidRDefault="00A542E4">
            <w:pPr>
              <w:rPr>
                <w:rFonts w:ascii="宋体" w:hAnsi="宋体" w:cs="宋体"/>
                <w:kern w:val="0"/>
                <w:sz w:val="15"/>
                <w:szCs w:val="21"/>
              </w:rPr>
            </w:pPr>
            <w:r>
              <w:rPr>
                <w:rFonts w:ascii="宋体" w:hAnsi="宋体" w:cs="宋体" w:hint="eastAsia"/>
                <w:kern w:val="0"/>
                <w:sz w:val="15"/>
                <w:szCs w:val="21"/>
              </w:rPr>
              <w:t>1、严重非恶性颅内肿瘤</w:t>
            </w:r>
          </w:p>
        </w:tc>
        <w:tc>
          <w:tcPr>
            <w:tcW w:w="4105" w:type="dxa"/>
          </w:tcPr>
          <w:p w14:paraId="4AAAB31B" w14:textId="77777777" w:rsidR="008F265F" w:rsidRDefault="00A542E4">
            <w:pPr>
              <w:rPr>
                <w:rFonts w:ascii="宋体" w:hAnsi="宋体" w:cs="宋体"/>
                <w:kern w:val="0"/>
                <w:sz w:val="15"/>
                <w:szCs w:val="21"/>
              </w:rPr>
            </w:pPr>
            <w:r>
              <w:rPr>
                <w:rFonts w:ascii="宋体" w:hAnsi="宋体" w:cs="宋体" w:hint="eastAsia"/>
                <w:kern w:val="0"/>
                <w:sz w:val="15"/>
                <w:szCs w:val="21"/>
              </w:rPr>
              <w:t>1、微创颅脑手术</w:t>
            </w:r>
          </w:p>
          <w:p w14:paraId="11A5E130" w14:textId="30408FE1" w:rsidR="008F265F" w:rsidRPr="00E76584" w:rsidRDefault="00A542E4">
            <w:pPr>
              <w:rPr>
                <w:rFonts w:ascii="宋体" w:hAnsi="宋体" w:cs="宋体"/>
                <w:kern w:val="0"/>
                <w:sz w:val="15"/>
                <w:szCs w:val="21"/>
              </w:rPr>
            </w:pPr>
            <w:r>
              <w:rPr>
                <w:rFonts w:ascii="宋体" w:hAnsi="宋体" w:cs="宋体" w:hint="eastAsia"/>
                <w:kern w:val="0"/>
                <w:sz w:val="15"/>
                <w:szCs w:val="21"/>
              </w:rPr>
              <w:t>2、</w:t>
            </w:r>
            <w:r w:rsidR="00E76584" w:rsidRPr="00EC795A">
              <w:rPr>
                <w:rFonts w:ascii="宋体" w:hAnsi="宋体" w:cs="宋体" w:hint="eastAsia"/>
                <w:kern w:val="0"/>
                <w:sz w:val="15"/>
                <w:szCs w:val="21"/>
              </w:rPr>
              <w:t>脑垂体瘤、脑囊肿、脑动脉瘤及脑血管瘤</w:t>
            </w:r>
          </w:p>
          <w:p w14:paraId="23BCA1C4" w14:textId="77777777" w:rsidR="008F265F" w:rsidRDefault="00A542E4">
            <w:pPr>
              <w:rPr>
                <w:rFonts w:ascii="宋体" w:hAnsi="宋体" w:cs="宋体"/>
                <w:kern w:val="0"/>
                <w:sz w:val="15"/>
                <w:szCs w:val="21"/>
              </w:rPr>
            </w:pPr>
            <w:r>
              <w:rPr>
                <w:rFonts w:ascii="宋体" w:hAnsi="宋体" w:cs="宋体"/>
                <w:kern w:val="0"/>
                <w:sz w:val="15"/>
                <w:szCs w:val="21"/>
              </w:rPr>
              <w:t>3</w:t>
            </w:r>
            <w:r>
              <w:rPr>
                <w:rFonts w:ascii="宋体" w:hAnsi="宋体" w:cs="宋体" w:hint="eastAsia"/>
                <w:kern w:val="0"/>
                <w:sz w:val="15"/>
                <w:szCs w:val="21"/>
              </w:rPr>
              <w:t>、植入大脑内分流器</w:t>
            </w:r>
          </w:p>
        </w:tc>
      </w:tr>
      <w:tr w:rsidR="008F265F" w14:paraId="60252CD3" w14:textId="77777777">
        <w:tc>
          <w:tcPr>
            <w:tcW w:w="988" w:type="dxa"/>
            <w:vAlign w:val="center"/>
          </w:tcPr>
          <w:p w14:paraId="2B829BD2"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5</w:t>
            </w:r>
            <w:r>
              <w:rPr>
                <w:rFonts w:ascii="宋体" w:hAnsi="宋体" w:cs="宋体" w:hint="eastAsia"/>
                <w:kern w:val="0"/>
                <w:sz w:val="15"/>
                <w:szCs w:val="21"/>
              </w:rPr>
              <w:t>组</w:t>
            </w:r>
          </w:p>
        </w:tc>
        <w:tc>
          <w:tcPr>
            <w:tcW w:w="3969" w:type="dxa"/>
            <w:vAlign w:val="center"/>
          </w:tcPr>
          <w:p w14:paraId="4CA094C4" w14:textId="77777777" w:rsidR="008F265F" w:rsidRDefault="00A542E4">
            <w:pPr>
              <w:rPr>
                <w:rFonts w:ascii="宋体" w:hAnsi="宋体" w:cs="宋体"/>
                <w:kern w:val="0"/>
                <w:sz w:val="15"/>
                <w:szCs w:val="21"/>
              </w:rPr>
            </w:pPr>
            <w:r>
              <w:rPr>
                <w:rFonts w:ascii="宋体" w:hAnsi="宋体" w:cs="宋体" w:hint="eastAsia"/>
                <w:kern w:val="0"/>
                <w:sz w:val="15"/>
                <w:szCs w:val="21"/>
              </w:rPr>
              <w:t>1、</w:t>
            </w:r>
            <w:r>
              <w:rPr>
                <w:rFonts w:ascii="宋体" w:hAnsi="宋体" w:hint="eastAsia"/>
                <w:color w:val="000000"/>
                <w:sz w:val="15"/>
                <w:szCs w:val="21"/>
              </w:rPr>
              <w:t>严重脑炎后遗症或严重脑膜炎后遗症</w:t>
            </w:r>
          </w:p>
        </w:tc>
        <w:tc>
          <w:tcPr>
            <w:tcW w:w="4105" w:type="dxa"/>
          </w:tcPr>
          <w:p w14:paraId="4777F600" w14:textId="77777777" w:rsidR="008F265F" w:rsidRDefault="00A542E4">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、中度脑炎或脑膜炎后遗症</w:t>
            </w:r>
          </w:p>
        </w:tc>
      </w:tr>
      <w:tr w:rsidR="008F265F" w14:paraId="2D3C1FCD" w14:textId="77777777">
        <w:tc>
          <w:tcPr>
            <w:tcW w:w="988" w:type="dxa"/>
            <w:vAlign w:val="center"/>
          </w:tcPr>
          <w:p w14:paraId="0D3577CB"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6</w:t>
            </w:r>
            <w:r>
              <w:rPr>
                <w:rFonts w:ascii="宋体" w:hAnsi="宋体" w:cs="宋体" w:hint="eastAsia"/>
                <w:kern w:val="0"/>
                <w:sz w:val="15"/>
                <w:szCs w:val="21"/>
              </w:rPr>
              <w:t>组</w:t>
            </w:r>
          </w:p>
        </w:tc>
        <w:tc>
          <w:tcPr>
            <w:tcW w:w="3969" w:type="dxa"/>
            <w:vAlign w:val="center"/>
          </w:tcPr>
          <w:p w14:paraId="574151C1" w14:textId="77777777" w:rsidR="008F265F" w:rsidRDefault="00A542E4">
            <w:pPr>
              <w:rPr>
                <w:rFonts w:ascii="宋体" w:hAnsi="宋体" w:cs="宋体"/>
                <w:kern w:val="0"/>
                <w:sz w:val="15"/>
                <w:szCs w:val="21"/>
              </w:rPr>
            </w:pPr>
            <w:r>
              <w:rPr>
                <w:rFonts w:ascii="宋体" w:hAnsi="宋体" w:cs="宋体" w:hint="eastAsia"/>
                <w:kern w:val="0"/>
                <w:sz w:val="15"/>
                <w:szCs w:val="21"/>
              </w:rPr>
              <w:t>1、深度昏迷</w:t>
            </w:r>
          </w:p>
        </w:tc>
        <w:tc>
          <w:tcPr>
            <w:tcW w:w="4105" w:type="dxa"/>
            <w:vAlign w:val="center"/>
          </w:tcPr>
          <w:p w14:paraId="7FEA3CFD" w14:textId="77777777" w:rsidR="008F265F" w:rsidRDefault="00A542E4">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w:t>
            </w:r>
            <w:r>
              <w:rPr>
                <w:rFonts w:ascii="宋体" w:hAnsi="宋体" w:cs="宋体"/>
                <w:kern w:val="0"/>
                <w:sz w:val="15"/>
                <w:szCs w:val="21"/>
              </w:rPr>
              <w:t>昏迷48小时</w:t>
            </w:r>
          </w:p>
          <w:p w14:paraId="5832BAFB" w14:textId="77777777" w:rsidR="008F265F" w:rsidRDefault="00A542E4">
            <w:pPr>
              <w:rPr>
                <w:rFonts w:ascii="宋体" w:hAnsi="宋体" w:cs="宋体"/>
                <w:kern w:val="0"/>
                <w:sz w:val="15"/>
                <w:szCs w:val="21"/>
              </w:rPr>
            </w:pPr>
            <w:r>
              <w:rPr>
                <w:rFonts w:ascii="宋体" w:hAnsi="宋体" w:cs="宋体" w:hint="eastAsia"/>
                <w:kern w:val="0"/>
                <w:sz w:val="15"/>
                <w:szCs w:val="21"/>
              </w:rPr>
              <w:t>2、昏迷</w:t>
            </w:r>
            <w:r>
              <w:rPr>
                <w:rFonts w:ascii="宋体" w:hAnsi="宋体" w:cs="宋体"/>
                <w:kern w:val="0"/>
                <w:sz w:val="15"/>
                <w:szCs w:val="21"/>
              </w:rPr>
              <w:t>72小时</w:t>
            </w:r>
          </w:p>
        </w:tc>
      </w:tr>
      <w:tr w:rsidR="008F265F" w14:paraId="7059B2E1" w14:textId="77777777">
        <w:tc>
          <w:tcPr>
            <w:tcW w:w="988" w:type="dxa"/>
            <w:vAlign w:val="center"/>
          </w:tcPr>
          <w:p w14:paraId="769CD589"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7</w:t>
            </w:r>
            <w:r>
              <w:rPr>
                <w:rFonts w:ascii="宋体" w:hAnsi="宋体" w:cs="宋体" w:hint="eastAsia"/>
                <w:kern w:val="0"/>
                <w:sz w:val="15"/>
                <w:szCs w:val="21"/>
              </w:rPr>
              <w:t>组</w:t>
            </w:r>
          </w:p>
        </w:tc>
        <w:tc>
          <w:tcPr>
            <w:tcW w:w="3969" w:type="dxa"/>
            <w:vAlign w:val="center"/>
          </w:tcPr>
          <w:p w14:paraId="79B8CF58" w14:textId="77777777" w:rsidR="008F265F" w:rsidRDefault="00A542E4">
            <w:pPr>
              <w:rPr>
                <w:rFonts w:ascii="宋体" w:hAnsi="宋体" w:cs="宋体"/>
                <w:kern w:val="0"/>
                <w:sz w:val="15"/>
                <w:szCs w:val="21"/>
              </w:rPr>
            </w:pPr>
            <w:r>
              <w:rPr>
                <w:rFonts w:ascii="宋体" w:hAnsi="宋体" w:cs="宋体" w:hint="eastAsia"/>
                <w:kern w:val="0"/>
                <w:sz w:val="15"/>
                <w:szCs w:val="21"/>
              </w:rPr>
              <w:t>1、双耳失聪——</w:t>
            </w:r>
            <w:r w:rsidRPr="00FD5F2C">
              <w:rPr>
                <w:rFonts w:ascii="宋体" w:hAnsi="宋体" w:cs="宋体" w:hint="eastAsia"/>
                <w:kern w:val="0"/>
                <w:sz w:val="15"/>
                <w:szCs w:val="21"/>
                <w:shd w:val="pct15" w:color="auto" w:fill="FFFFFF"/>
              </w:rPr>
              <w:t>三周岁后始理赔</w:t>
            </w:r>
          </w:p>
        </w:tc>
        <w:tc>
          <w:tcPr>
            <w:tcW w:w="4105" w:type="dxa"/>
          </w:tcPr>
          <w:p w14:paraId="41F7566F" w14:textId="77777777" w:rsidR="008F265F" w:rsidRDefault="00A542E4">
            <w:pPr>
              <w:rPr>
                <w:rFonts w:ascii="宋体" w:hAnsi="宋体" w:cs="宋体"/>
                <w:kern w:val="0"/>
                <w:sz w:val="15"/>
                <w:szCs w:val="21"/>
              </w:rPr>
            </w:pPr>
            <w:r>
              <w:rPr>
                <w:rFonts w:ascii="宋体" w:hAnsi="宋体" w:cs="宋体" w:hint="eastAsia"/>
                <w:kern w:val="0"/>
                <w:sz w:val="15"/>
                <w:szCs w:val="21"/>
              </w:rPr>
              <w:t>1、单耳失聪——</w:t>
            </w:r>
            <w:r w:rsidRPr="00FD5F2C">
              <w:rPr>
                <w:rFonts w:ascii="宋体" w:hAnsi="宋体" w:cs="宋体" w:hint="eastAsia"/>
                <w:kern w:val="0"/>
                <w:sz w:val="15"/>
                <w:szCs w:val="21"/>
                <w:shd w:val="pct15" w:color="auto" w:fill="FFFFFF"/>
              </w:rPr>
              <w:t>三周岁后始理赔</w:t>
            </w:r>
          </w:p>
          <w:p w14:paraId="48BBB6B7" w14:textId="77777777" w:rsidR="008F265F" w:rsidRDefault="00A542E4">
            <w:pPr>
              <w:rPr>
                <w:rFonts w:ascii="宋体" w:hAnsi="宋体" w:cs="宋体"/>
                <w:kern w:val="0"/>
                <w:sz w:val="15"/>
                <w:szCs w:val="21"/>
                <w:shd w:val="pct10" w:color="auto" w:fill="FFFFFF"/>
              </w:rPr>
            </w:pPr>
            <w:r>
              <w:rPr>
                <w:rFonts w:ascii="宋体" w:hAnsi="宋体" w:cs="宋体" w:hint="eastAsia"/>
                <w:kern w:val="0"/>
                <w:sz w:val="15"/>
                <w:szCs w:val="21"/>
              </w:rPr>
              <w:t>2、中度听力受损——</w:t>
            </w:r>
            <w:r w:rsidRPr="00FD5F2C">
              <w:rPr>
                <w:rFonts w:ascii="宋体" w:hAnsi="宋体" w:cs="宋体" w:hint="eastAsia"/>
                <w:kern w:val="0"/>
                <w:sz w:val="15"/>
                <w:szCs w:val="21"/>
                <w:shd w:val="pct15" w:color="auto" w:fill="FFFFFF"/>
              </w:rPr>
              <w:t>三周岁后始理赔</w:t>
            </w:r>
          </w:p>
          <w:p w14:paraId="645D74E0" w14:textId="77777777" w:rsidR="008F265F" w:rsidRDefault="00A542E4">
            <w:pPr>
              <w:rPr>
                <w:rFonts w:ascii="宋体" w:hAnsi="宋体" w:cs="宋体"/>
                <w:kern w:val="0"/>
                <w:sz w:val="15"/>
                <w:szCs w:val="21"/>
              </w:rPr>
            </w:pPr>
            <w:r>
              <w:rPr>
                <w:rFonts w:ascii="宋体" w:hAnsi="宋体" w:cs="宋体" w:hint="eastAsia"/>
                <w:kern w:val="0"/>
                <w:sz w:val="15"/>
                <w:szCs w:val="21"/>
              </w:rPr>
              <w:t>3、人工耳蜗植入术</w:t>
            </w:r>
          </w:p>
        </w:tc>
      </w:tr>
      <w:tr w:rsidR="008F265F" w14:paraId="40ECF321" w14:textId="77777777">
        <w:tc>
          <w:tcPr>
            <w:tcW w:w="988" w:type="dxa"/>
            <w:vAlign w:val="center"/>
          </w:tcPr>
          <w:p w14:paraId="3C304518"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8</w:t>
            </w:r>
            <w:r>
              <w:rPr>
                <w:rFonts w:ascii="宋体" w:hAnsi="宋体" w:cs="宋体" w:hint="eastAsia"/>
                <w:kern w:val="0"/>
                <w:sz w:val="15"/>
                <w:szCs w:val="21"/>
              </w:rPr>
              <w:t>组</w:t>
            </w:r>
          </w:p>
        </w:tc>
        <w:tc>
          <w:tcPr>
            <w:tcW w:w="3969" w:type="dxa"/>
            <w:vAlign w:val="center"/>
          </w:tcPr>
          <w:p w14:paraId="22D77E2A" w14:textId="77777777" w:rsidR="008F265F" w:rsidRDefault="00A542E4">
            <w:pPr>
              <w:rPr>
                <w:rFonts w:ascii="宋体" w:hAnsi="宋体" w:cs="宋体"/>
                <w:kern w:val="0"/>
                <w:sz w:val="15"/>
                <w:szCs w:val="21"/>
              </w:rPr>
            </w:pPr>
            <w:r>
              <w:rPr>
                <w:rFonts w:ascii="宋体" w:hAnsi="宋体" w:cs="宋体" w:hint="eastAsia"/>
                <w:kern w:val="0"/>
                <w:sz w:val="15"/>
                <w:szCs w:val="21"/>
              </w:rPr>
              <w:t>1、双目失明——</w:t>
            </w:r>
            <w:r w:rsidRPr="00FD5F2C">
              <w:rPr>
                <w:rFonts w:ascii="宋体" w:hAnsi="宋体" w:cs="宋体" w:hint="eastAsia"/>
                <w:kern w:val="0"/>
                <w:sz w:val="15"/>
                <w:szCs w:val="21"/>
                <w:shd w:val="pct15" w:color="auto" w:fill="FFFFFF"/>
              </w:rPr>
              <w:t>三周岁后始理赔</w:t>
            </w:r>
          </w:p>
        </w:tc>
        <w:tc>
          <w:tcPr>
            <w:tcW w:w="4105" w:type="dxa"/>
          </w:tcPr>
          <w:p w14:paraId="400FDFEF" w14:textId="77777777" w:rsidR="008F265F" w:rsidRDefault="00A542E4">
            <w:pPr>
              <w:rPr>
                <w:rFonts w:ascii="宋体" w:hAnsi="宋体" w:cs="宋体"/>
                <w:kern w:val="0"/>
                <w:sz w:val="15"/>
                <w:szCs w:val="21"/>
                <w:shd w:val="pct10" w:color="auto" w:fill="FFFFFF"/>
              </w:rPr>
            </w:pPr>
            <w:r>
              <w:rPr>
                <w:rFonts w:ascii="宋体" w:hAnsi="宋体" w:cs="宋体"/>
                <w:kern w:val="0"/>
                <w:sz w:val="15"/>
                <w:szCs w:val="21"/>
              </w:rPr>
              <w:t>1</w:t>
            </w:r>
            <w:r>
              <w:rPr>
                <w:rFonts w:ascii="宋体" w:hAnsi="宋体" w:cs="宋体" w:hint="eastAsia"/>
                <w:kern w:val="0"/>
                <w:sz w:val="15"/>
                <w:szCs w:val="21"/>
              </w:rPr>
              <w:t>、视力严重受损——</w:t>
            </w:r>
            <w:r w:rsidRPr="00FD5F2C">
              <w:rPr>
                <w:rFonts w:ascii="宋体" w:hAnsi="宋体" w:cs="宋体" w:hint="eastAsia"/>
                <w:kern w:val="0"/>
                <w:sz w:val="15"/>
                <w:szCs w:val="21"/>
                <w:shd w:val="pct15" w:color="auto" w:fill="FFFFFF"/>
              </w:rPr>
              <w:t>三周岁后始理赔</w:t>
            </w:r>
          </w:p>
          <w:p w14:paraId="3C0EA306" w14:textId="77777777" w:rsidR="008F265F" w:rsidRDefault="00A542E4">
            <w:pPr>
              <w:rPr>
                <w:rFonts w:ascii="宋体" w:hAnsi="宋体" w:cs="宋体"/>
                <w:kern w:val="0"/>
                <w:sz w:val="15"/>
                <w:szCs w:val="21"/>
              </w:rPr>
            </w:pPr>
            <w:r>
              <w:rPr>
                <w:rFonts w:ascii="宋体" w:hAnsi="宋体" w:cs="宋体"/>
                <w:kern w:val="0"/>
                <w:sz w:val="15"/>
                <w:szCs w:val="21"/>
              </w:rPr>
              <w:t>2</w:t>
            </w:r>
            <w:r>
              <w:rPr>
                <w:rFonts w:ascii="宋体" w:hAnsi="宋体" w:cs="宋体" w:hint="eastAsia"/>
                <w:kern w:val="0"/>
                <w:sz w:val="15"/>
                <w:szCs w:val="21"/>
              </w:rPr>
              <w:t>、单目失明——</w:t>
            </w:r>
            <w:r w:rsidRPr="00FD5F2C">
              <w:rPr>
                <w:rFonts w:ascii="宋体" w:hAnsi="宋体" w:cs="宋体" w:hint="eastAsia"/>
                <w:kern w:val="0"/>
                <w:sz w:val="15"/>
                <w:szCs w:val="21"/>
                <w:shd w:val="pct15" w:color="auto" w:fill="FFFFFF"/>
              </w:rPr>
              <w:t>三周岁后始理赔</w:t>
            </w:r>
          </w:p>
          <w:p w14:paraId="1890F6CC" w14:textId="77777777" w:rsidR="008F265F" w:rsidRDefault="00A542E4">
            <w:pPr>
              <w:rPr>
                <w:rFonts w:ascii="宋体" w:eastAsiaTheme="minorEastAsia" w:hAnsi="宋体"/>
                <w:color w:val="000000"/>
                <w:sz w:val="15"/>
                <w:szCs w:val="20"/>
              </w:rPr>
            </w:pPr>
            <w:r>
              <w:rPr>
                <w:rFonts w:ascii="宋体" w:hAnsi="宋体" w:cs="宋体" w:hint="eastAsia"/>
                <w:kern w:val="0"/>
                <w:sz w:val="15"/>
                <w:szCs w:val="21"/>
              </w:rPr>
              <w:t>3、角膜移植</w:t>
            </w:r>
            <w:r>
              <w:rPr>
                <w:rFonts w:ascii="宋体" w:eastAsiaTheme="minorEastAsia" w:hAnsi="宋体" w:hint="eastAsia"/>
                <w:color w:val="000000"/>
                <w:sz w:val="15"/>
                <w:szCs w:val="20"/>
              </w:rPr>
              <w:t>术</w:t>
            </w:r>
          </w:p>
          <w:p w14:paraId="0C58ACE1" w14:textId="77777777" w:rsidR="008F265F" w:rsidRDefault="00A542E4">
            <w:pPr>
              <w:rPr>
                <w:rFonts w:ascii="宋体" w:eastAsiaTheme="minorEastAsia" w:hAnsi="宋体"/>
                <w:color w:val="000000"/>
                <w:sz w:val="15"/>
                <w:szCs w:val="20"/>
              </w:rPr>
            </w:pPr>
            <w:r>
              <w:rPr>
                <w:rFonts w:ascii="宋体" w:eastAsiaTheme="minorEastAsia" w:hAnsi="宋体" w:hint="eastAsia"/>
                <w:color w:val="000000"/>
                <w:sz w:val="15"/>
                <w:szCs w:val="20"/>
              </w:rPr>
              <w:t>4、</w:t>
            </w:r>
            <w:r w:rsidRPr="00A542E4">
              <w:rPr>
                <w:rFonts w:ascii="宋体" w:eastAsiaTheme="minorEastAsia" w:hAnsi="宋体" w:hint="eastAsia"/>
                <w:color w:val="000000"/>
                <w:sz w:val="15"/>
                <w:szCs w:val="20"/>
              </w:rPr>
              <w:t>糖尿病视网膜增生性病变</w:t>
            </w:r>
          </w:p>
        </w:tc>
      </w:tr>
      <w:tr w:rsidR="008F265F" w14:paraId="3B09F745" w14:textId="77777777">
        <w:tc>
          <w:tcPr>
            <w:tcW w:w="988" w:type="dxa"/>
            <w:vAlign w:val="center"/>
          </w:tcPr>
          <w:p w14:paraId="5D380617"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9</w:t>
            </w:r>
            <w:r>
              <w:rPr>
                <w:rFonts w:ascii="宋体" w:hAnsi="宋体" w:cs="宋体" w:hint="eastAsia"/>
                <w:kern w:val="0"/>
                <w:sz w:val="15"/>
                <w:szCs w:val="21"/>
              </w:rPr>
              <w:t>组</w:t>
            </w:r>
          </w:p>
        </w:tc>
        <w:tc>
          <w:tcPr>
            <w:tcW w:w="3969" w:type="dxa"/>
            <w:vAlign w:val="center"/>
          </w:tcPr>
          <w:p w14:paraId="494E76AC" w14:textId="77777777" w:rsidR="008F265F" w:rsidRDefault="00A542E4">
            <w:pPr>
              <w:rPr>
                <w:rFonts w:ascii="宋体" w:hAnsi="宋体" w:cs="宋体"/>
                <w:kern w:val="0"/>
                <w:sz w:val="15"/>
                <w:szCs w:val="21"/>
              </w:rPr>
            </w:pPr>
            <w:r>
              <w:rPr>
                <w:rFonts w:ascii="宋体" w:hAnsi="宋体" w:cs="宋体" w:hint="eastAsia"/>
                <w:kern w:val="0"/>
                <w:sz w:val="15"/>
                <w:szCs w:val="21"/>
              </w:rPr>
              <w:t>1、心脏瓣膜手术</w:t>
            </w:r>
          </w:p>
        </w:tc>
        <w:tc>
          <w:tcPr>
            <w:tcW w:w="4105" w:type="dxa"/>
          </w:tcPr>
          <w:p w14:paraId="622B87EA" w14:textId="77777777" w:rsidR="008F265F" w:rsidRDefault="00A542E4">
            <w:pPr>
              <w:rPr>
                <w:rFonts w:ascii="宋体" w:hAnsi="宋体" w:cs="宋体"/>
                <w:kern w:val="0"/>
                <w:sz w:val="15"/>
                <w:szCs w:val="21"/>
              </w:rPr>
            </w:pPr>
            <w:r>
              <w:rPr>
                <w:rFonts w:ascii="宋体" w:hAnsi="宋体" w:cs="宋体" w:hint="eastAsia"/>
                <w:kern w:val="0"/>
                <w:sz w:val="15"/>
                <w:szCs w:val="21"/>
              </w:rPr>
              <w:t>1、心脏瓣膜介入手术</w:t>
            </w:r>
          </w:p>
        </w:tc>
      </w:tr>
      <w:tr w:rsidR="008F265F" w14:paraId="52F04FDE" w14:textId="77777777">
        <w:tc>
          <w:tcPr>
            <w:tcW w:w="988" w:type="dxa"/>
            <w:vAlign w:val="center"/>
          </w:tcPr>
          <w:p w14:paraId="085FF50D"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10</w:t>
            </w:r>
            <w:r>
              <w:rPr>
                <w:rFonts w:ascii="宋体" w:hAnsi="宋体" w:cs="宋体" w:hint="eastAsia"/>
                <w:kern w:val="0"/>
                <w:sz w:val="15"/>
                <w:szCs w:val="21"/>
              </w:rPr>
              <w:t>组</w:t>
            </w:r>
          </w:p>
        </w:tc>
        <w:tc>
          <w:tcPr>
            <w:tcW w:w="3969" w:type="dxa"/>
            <w:vAlign w:val="center"/>
          </w:tcPr>
          <w:p w14:paraId="6448A52C" w14:textId="77777777" w:rsidR="008F265F" w:rsidRDefault="00A542E4">
            <w:pPr>
              <w:rPr>
                <w:rFonts w:ascii="宋体" w:hAnsi="宋体" w:cs="宋体"/>
                <w:kern w:val="0"/>
                <w:sz w:val="15"/>
                <w:szCs w:val="21"/>
              </w:rPr>
            </w:pPr>
            <w:r>
              <w:rPr>
                <w:rFonts w:ascii="宋体" w:hAnsi="宋体" w:cs="宋体" w:hint="eastAsia"/>
                <w:kern w:val="0"/>
                <w:sz w:val="15"/>
                <w:szCs w:val="21"/>
              </w:rPr>
              <w:t>1、严重脑损伤</w:t>
            </w:r>
          </w:p>
        </w:tc>
        <w:tc>
          <w:tcPr>
            <w:tcW w:w="4105" w:type="dxa"/>
          </w:tcPr>
          <w:p w14:paraId="51F584B1" w14:textId="77777777" w:rsidR="008F265F" w:rsidRDefault="00A542E4">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、中度脑损伤</w:t>
            </w:r>
          </w:p>
        </w:tc>
      </w:tr>
      <w:tr w:rsidR="008F265F" w14:paraId="0E02E498" w14:textId="77777777">
        <w:tc>
          <w:tcPr>
            <w:tcW w:w="988" w:type="dxa"/>
            <w:vAlign w:val="center"/>
          </w:tcPr>
          <w:p w14:paraId="6834E21F"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11</w:t>
            </w:r>
            <w:r>
              <w:rPr>
                <w:rFonts w:ascii="宋体" w:hAnsi="宋体" w:cs="宋体" w:hint="eastAsia"/>
                <w:kern w:val="0"/>
                <w:sz w:val="15"/>
                <w:szCs w:val="21"/>
              </w:rPr>
              <w:t>组</w:t>
            </w:r>
          </w:p>
        </w:tc>
        <w:tc>
          <w:tcPr>
            <w:tcW w:w="3969" w:type="dxa"/>
            <w:vAlign w:val="center"/>
          </w:tcPr>
          <w:p w14:paraId="4FD39D5F" w14:textId="77777777" w:rsidR="008F265F" w:rsidRDefault="00A542E4">
            <w:pPr>
              <w:rPr>
                <w:rFonts w:ascii="宋体" w:hAnsi="宋体"/>
                <w:color w:val="000000"/>
                <w:sz w:val="15"/>
                <w:szCs w:val="21"/>
              </w:rPr>
            </w:pPr>
            <w:r>
              <w:rPr>
                <w:rFonts w:ascii="宋体" w:hAnsi="宋体" w:hint="eastAsia"/>
                <w:color w:val="000000"/>
                <w:sz w:val="15"/>
                <w:szCs w:val="21"/>
              </w:rPr>
              <w:t>1、严重Ⅲ度烧伤</w:t>
            </w:r>
          </w:p>
          <w:p w14:paraId="044924C0" w14:textId="77777777" w:rsidR="008F265F" w:rsidRDefault="00A542E4">
            <w:pPr>
              <w:rPr>
                <w:rFonts w:ascii="宋体" w:hAnsi="宋体" w:cs="宋体"/>
                <w:kern w:val="0"/>
                <w:sz w:val="15"/>
                <w:szCs w:val="21"/>
              </w:rPr>
            </w:pPr>
            <w:r>
              <w:rPr>
                <w:rFonts w:ascii="宋体" w:hAnsi="宋体" w:cs="宋体"/>
                <w:kern w:val="0"/>
                <w:sz w:val="15"/>
                <w:szCs w:val="21"/>
              </w:rPr>
              <w:t>2</w:t>
            </w:r>
            <w:r>
              <w:rPr>
                <w:rFonts w:ascii="宋体" w:hAnsi="宋体" w:cs="宋体" w:hint="eastAsia"/>
                <w:kern w:val="0"/>
                <w:sz w:val="15"/>
                <w:szCs w:val="21"/>
              </w:rPr>
              <w:t>、严重面部烧伤</w:t>
            </w:r>
          </w:p>
        </w:tc>
        <w:tc>
          <w:tcPr>
            <w:tcW w:w="4105" w:type="dxa"/>
          </w:tcPr>
          <w:p w14:paraId="0513880F" w14:textId="77777777" w:rsidR="008F265F" w:rsidRDefault="00A542E4">
            <w:pPr>
              <w:rPr>
                <w:rFonts w:ascii="宋体" w:hAnsi="宋体" w:cs="宋体"/>
                <w:kern w:val="0"/>
                <w:sz w:val="15"/>
                <w:szCs w:val="21"/>
              </w:rPr>
            </w:pPr>
            <w:r>
              <w:rPr>
                <w:rFonts w:ascii="宋体" w:hAnsi="宋体" w:cs="宋体" w:hint="eastAsia"/>
                <w:kern w:val="0"/>
                <w:sz w:val="15"/>
                <w:szCs w:val="21"/>
              </w:rPr>
              <w:t>1、全身较小面积Ⅲ度烧伤</w:t>
            </w:r>
          </w:p>
          <w:p w14:paraId="595764AA" w14:textId="77777777" w:rsidR="008F265F" w:rsidRDefault="00A542E4">
            <w:pPr>
              <w:rPr>
                <w:rFonts w:ascii="宋体" w:hAnsi="宋体" w:cs="宋体"/>
                <w:kern w:val="0"/>
                <w:sz w:val="15"/>
                <w:szCs w:val="21"/>
              </w:rPr>
            </w:pPr>
            <w:r>
              <w:rPr>
                <w:rFonts w:ascii="宋体" w:hAnsi="宋体" w:cs="宋体" w:hint="eastAsia"/>
                <w:kern w:val="0"/>
                <w:sz w:val="15"/>
                <w:szCs w:val="21"/>
              </w:rPr>
              <w:t>2、轻度面部烧伤</w:t>
            </w:r>
          </w:p>
          <w:p w14:paraId="08BDB6F6" w14:textId="77777777" w:rsidR="008F265F" w:rsidRDefault="00A542E4">
            <w:pPr>
              <w:rPr>
                <w:rFonts w:ascii="宋体" w:hAnsi="宋体" w:cs="宋体"/>
                <w:kern w:val="0"/>
                <w:sz w:val="15"/>
                <w:szCs w:val="21"/>
              </w:rPr>
            </w:pPr>
            <w:r>
              <w:rPr>
                <w:rFonts w:ascii="宋体" w:hAnsi="宋体" w:cs="宋体" w:hint="eastAsia"/>
                <w:kern w:val="0"/>
                <w:sz w:val="15"/>
                <w:szCs w:val="21"/>
              </w:rPr>
              <w:t>3、</w:t>
            </w:r>
            <w:r w:rsidRPr="00A542E4">
              <w:rPr>
                <w:rFonts w:ascii="宋体" w:hAnsi="宋体" w:cs="宋体" w:hint="eastAsia"/>
                <w:kern w:val="0"/>
                <w:sz w:val="15"/>
                <w:szCs w:val="21"/>
              </w:rPr>
              <w:t>中度全身Ⅲ度烧伤</w:t>
            </w:r>
          </w:p>
          <w:p w14:paraId="7120AFBD" w14:textId="77777777" w:rsidR="008F265F" w:rsidRDefault="00A542E4">
            <w:pPr>
              <w:rPr>
                <w:rFonts w:ascii="宋体" w:hAnsi="宋体" w:cs="宋体"/>
                <w:kern w:val="0"/>
                <w:sz w:val="15"/>
                <w:szCs w:val="21"/>
              </w:rPr>
            </w:pPr>
            <w:r>
              <w:rPr>
                <w:rFonts w:ascii="宋体" w:hAnsi="宋体" w:cs="宋体" w:hint="eastAsia"/>
                <w:kern w:val="0"/>
                <w:sz w:val="15"/>
                <w:szCs w:val="21"/>
              </w:rPr>
              <w:t>4、</w:t>
            </w:r>
            <w:r w:rsidRPr="00A542E4">
              <w:rPr>
                <w:rFonts w:ascii="宋体" w:hAnsi="宋体" w:cs="宋体" w:hint="eastAsia"/>
                <w:kern w:val="0"/>
                <w:sz w:val="15"/>
                <w:szCs w:val="21"/>
              </w:rPr>
              <w:t>中度面部烧伤</w:t>
            </w:r>
          </w:p>
        </w:tc>
      </w:tr>
      <w:tr w:rsidR="008F265F" w14:paraId="33383655" w14:textId="77777777">
        <w:tc>
          <w:tcPr>
            <w:tcW w:w="988" w:type="dxa"/>
            <w:vAlign w:val="center"/>
          </w:tcPr>
          <w:p w14:paraId="2008434F"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12</w:t>
            </w:r>
            <w:r>
              <w:rPr>
                <w:rFonts w:ascii="宋体" w:hAnsi="宋体" w:cs="宋体" w:hint="eastAsia"/>
                <w:kern w:val="0"/>
                <w:sz w:val="15"/>
                <w:szCs w:val="21"/>
              </w:rPr>
              <w:t>组</w:t>
            </w:r>
          </w:p>
        </w:tc>
        <w:tc>
          <w:tcPr>
            <w:tcW w:w="3969" w:type="dxa"/>
            <w:vAlign w:val="center"/>
          </w:tcPr>
          <w:p w14:paraId="780AE7FE" w14:textId="77777777" w:rsidR="008F265F" w:rsidRDefault="00A542E4">
            <w:pPr>
              <w:rPr>
                <w:rFonts w:ascii="宋体" w:hAnsi="宋体" w:cs="宋体"/>
                <w:kern w:val="0"/>
                <w:sz w:val="15"/>
                <w:szCs w:val="21"/>
              </w:rPr>
            </w:pPr>
            <w:r>
              <w:rPr>
                <w:rFonts w:ascii="宋体" w:hAnsi="宋体" w:cs="宋体" w:hint="eastAsia"/>
                <w:kern w:val="0"/>
                <w:sz w:val="15"/>
                <w:szCs w:val="21"/>
              </w:rPr>
              <w:t>1、主动脉手术</w:t>
            </w:r>
          </w:p>
        </w:tc>
        <w:tc>
          <w:tcPr>
            <w:tcW w:w="4105" w:type="dxa"/>
          </w:tcPr>
          <w:p w14:paraId="5572E140" w14:textId="77777777" w:rsidR="008F265F" w:rsidRDefault="00A542E4">
            <w:pPr>
              <w:rPr>
                <w:rFonts w:ascii="宋体" w:hAnsi="宋体" w:cs="宋体"/>
                <w:kern w:val="0"/>
                <w:sz w:val="15"/>
                <w:szCs w:val="21"/>
              </w:rPr>
            </w:pPr>
            <w:r>
              <w:rPr>
                <w:rFonts w:ascii="宋体" w:hAnsi="宋体" w:cs="宋体" w:hint="eastAsia"/>
                <w:kern w:val="0"/>
                <w:sz w:val="15"/>
                <w:szCs w:val="21"/>
              </w:rPr>
              <w:t>1、主动脉介入手术</w:t>
            </w:r>
          </w:p>
        </w:tc>
      </w:tr>
      <w:tr w:rsidR="008F265F" w14:paraId="50CA4401" w14:textId="77777777">
        <w:tc>
          <w:tcPr>
            <w:tcW w:w="988" w:type="dxa"/>
            <w:vAlign w:val="center"/>
          </w:tcPr>
          <w:p w14:paraId="0E892BCE"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第1</w:t>
            </w:r>
            <w:r>
              <w:rPr>
                <w:rFonts w:ascii="宋体" w:hAnsi="宋体" w:cs="宋体"/>
                <w:kern w:val="0"/>
                <w:sz w:val="15"/>
                <w:szCs w:val="21"/>
              </w:rPr>
              <w:t>3组</w:t>
            </w:r>
          </w:p>
        </w:tc>
        <w:tc>
          <w:tcPr>
            <w:tcW w:w="3969" w:type="dxa"/>
            <w:vAlign w:val="center"/>
          </w:tcPr>
          <w:p w14:paraId="3F6237E8" w14:textId="77777777" w:rsidR="008F265F" w:rsidRDefault="00A542E4">
            <w:pPr>
              <w:rPr>
                <w:rFonts w:ascii="宋体" w:hAnsi="宋体" w:cs="宋体"/>
                <w:kern w:val="0"/>
                <w:sz w:val="15"/>
                <w:szCs w:val="21"/>
              </w:rPr>
            </w:pPr>
            <w:r>
              <w:rPr>
                <w:rFonts w:ascii="宋体" w:hAnsi="宋体" w:cs="宋体" w:hint="eastAsia"/>
                <w:kern w:val="0"/>
                <w:sz w:val="15"/>
                <w:szCs w:val="21"/>
              </w:rPr>
              <w:t>1、严重类风湿性关节炎</w:t>
            </w:r>
          </w:p>
          <w:p w14:paraId="3607905B" w14:textId="77777777" w:rsidR="008F265F" w:rsidRDefault="00A542E4">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严</w:t>
            </w:r>
            <w:r>
              <w:rPr>
                <w:rFonts w:ascii="宋体" w:hAnsi="宋体" w:cs="宋体" w:hint="eastAsia"/>
                <w:kern w:val="0"/>
                <w:sz w:val="15"/>
                <w:szCs w:val="21"/>
              </w:rPr>
              <w:t>重幼年型类风湿性关节炎</w:t>
            </w:r>
          </w:p>
        </w:tc>
        <w:tc>
          <w:tcPr>
            <w:tcW w:w="4105" w:type="dxa"/>
            <w:vAlign w:val="center"/>
          </w:tcPr>
          <w:p w14:paraId="5B39BB10" w14:textId="77777777" w:rsidR="008F265F" w:rsidRDefault="00A542E4">
            <w:pPr>
              <w:rPr>
                <w:rFonts w:ascii="宋体" w:hAnsi="宋体" w:cs="宋体"/>
                <w:kern w:val="0"/>
                <w:sz w:val="15"/>
                <w:szCs w:val="21"/>
              </w:rPr>
            </w:pPr>
            <w:r>
              <w:rPr>
                <w:rFonts w:ascii="宋体" w:hAnsi="宋体" w:cs="宋体" w:hint="eastAsia"/>
                <w:kern w:val="0"/>
                <w:sz w:val="15"/>
                <w:szCs w:val="21"/>
              </w:rPr>
              <w:t>1、中度类风湿性关节炎</w:t>
            </w:r>
          </w:p>
        </w:tc>
      </w:tr>
      <w:tr w:rsidR="008F265F" w14:paraId="1F9F19F2" w14:textId="77777777">
        <w:tc>
          <w:tcPr>
            <w:tcW w:w="988" w:type="dxa"/>
            <w:vAlign w:val="center"/>
          </w:tcPr>
          <w:p w14:paraId="7A9FC97B" w14:textId="77777777" w:rsidR="008F265F" w:rsidRDefault="00A542E4">
            <w:pPr>
              <w:jc w:val="center"/>
              <w:rPr>
                <w:rFonts w:ascii="宋体" w:hAnsi="宋体" w:cs="宋体"/>
                <w:kern w:val="0"/>
                <w:sz w:val="15"/>
                <w:szCs w:val="21"/>
              </w:rPr>
            </w:pPr>
            <w:r>
              <w:rPr>
                <w:rFonts w:ascii="宋体" w:hAnsi="宋体" w:cs="宋体" w:hint="eastAsia"/>
                <w:kern w:val="0"/>
                <w:sz w:val="15"/>
                <w:szCs w:val="21"/>
              </w:rPr>
              <w:t>第14组</w:t>
            </w:r>
          </w:p>
        </w:tc>
        <w:tc>
          <w:tcPr>
            <w:tcW w:w="3969" w:type="dxa"/>
            <w:vAlign w:val="center"/>
          </w:tcPr>
          <w:p w14:paraId="5F015BD5" w14:textId="77777777" w:rsidR="008F265F" w:rsidRDefault="00A542E4">
            <w:pPr>
              <w:rPr>
                <w:rFonts w:ascii="宋体" w:hAnsi="宋体" w:cs="宋体"/>
                <w:kern w:val="0"/>
                <w:sz w:val="15"/>
                <w:szCs w:val="21"/>
              </w:rPr>
            </w:pPr>
            <w:r>
              <w:rPr>
                <w:rFonts w:ascii="宋体" w:hAnsi="宋体" w:cs="宋体" w:hint="eastAsia"/>
                <w:kern w:val="0"/>
                <w:sz w:val="15"/>
                <w:szCs w:val="21"/>
              </w:rPr>
              <w:t>1、</w:t>
            </w:r>
            <w:r w:rsidRPr="00A542E4">
              <w:rPr>
                <w:rFonts w:ascii="宋体" w:hAnsi="宋体" w:cs="宋体" w:hint="eastAsia"/>
                <w:kern w:val="0"/>
                <w:sz w:val="15"/>
                <w:szCs w:val="21"/>
              </w:rPr>
              <w:t>严重强直性脊柱炎</w:t>
            </w:r>
          </w:p>
        </w:tc>
        <w:tc>
          <w:tcPr>
            <w:tcW w:w="4105" w:type="dxa"/>
            <w:vAlign w:val="center"/>
          </w:tcPr>
          <w:p w14:paraId="522CE6CD" w14:textId="77777777" w:rsidR="008F265F" w:rsidRDefault="00A542E4">
            <w:pPr>
              <w:rPr>
                <w:rFonts w:ascii="宋体" w:hAnsi="宋体" w:cs="宋体"/>
                <w:kern w:val="0"/>
                <w:sz w:val="15"/>
                <w:szCs w:val="21"/>
              </w:rPr>
            </w:pPr>
            <w:r>
              <w:rPr>
                <w:rFonts w:ascii="宋体" w:hAnsi="宋体" w:cs="宋体" w:hint="eastAsia"/>
                <w:kern w:val="0"/>
                <w:sz w:val="15"/>
                <w:szCs w:val="21"/>
              </w:rPr>
              <w:t>1、</w:t>
            </w:r>
            <w:r w:rsidRPr="00A542E4">
              <w:rPr>
                <w:rFonts w:ascii="宋体" w:hAnsi="宋体" w:cs="宋体" w:hint="eastAsia"/>
                <w:kern w:val="0"/>
                <w:sz w:val="15"/>
                <w:szCs w:val="21"/>
              </w:rPr>
              <w:t>中度强直性脊柱炎</w:t>
            </w:r>
          </w:p>
        </w:tc>
      </w:tr>
    </w:tbl>
    <w:p w14:paraId="35B319BA" w14:textId="77777777" w:rsidR="008F265F" w:rsidRDefault="008F265F">
      <w:pPr>
        <w:widowControl/>
        <w:jc w:val="right"/>
        <w:rPr>
          <w:rFonts w:ascii="宋体" w:hAnsi="宋体"/>
          <w:b/>
          <w:bCs/>
        </w:rPr>
      </w:pPr>
    </w:p>
    <w:p w14:paraId="32EED2FB" w14:textId="77777777" w:rsidR="008F265F" w:rsidRDefault="008F265F">
      <w:pPr>
        <w:widowControl/>
        <w:rPr>
          <w:rFonts w:ascii="宋体" w:hAnsi="宋体"/>
          <w:b/>
          <w:bCs/>
        </w:rPr>
      </w:pPr>
    </w:p>
    <w:p w14:paraId="0F20BBEE" w14:textId="77777777" w:rsidR="008F265F" w:rsidRDefault="00A542E4">
      <w:pPr>
        <w:autoSpaceDE w:val="0"/>
        <w:autoSpaceDN w:val="0"/>
        <w:adjustRightInd w:val="0"/>
        <w:spacing w:beforeLines="50" w:before="156"/>
        <w:ind w:firstLineChars="200" w:firstLine="422"/>
        <w:rPr>
          <w:rFonts w:ascii="宋体" w:hAnsi="宋体" w:cs="Arial"/>
          <w:snapToGrid w:val="0"/>
          <w:color w:val="000000"/>
        </w:rPr>
      </w:pPr>
      <w:r>
        <w:rPr>
          <w:rFonts w:ascii="宋体" w:hAnsi="宋体" w:cs="Arial" w:hint="eastAsia"/>
          <w:b/>
          <w:bCs/>
          <w:snapToGrid w:val="0"/>
          <w:color w:val="000000"/>
        </w:rPr>
        <w:t>附表三：</w:t>
      </w:r>
    </w:p>
    <w:p w14:paraId="75D65DA5" w14:textId="77777777" w:rsidR="008F265F" w:rsidRDefault="00A542E4">
      <w:pPr>
        <w:widowControl/>
        <w:spacing w:afterLines="50" w:after="156"/>
        <w:jc w:val="center"/>
        <w:rPr>
          <w:rFonts w:ascii="宋体" w:hAnsi="宋体" w:cs="Arial"/>
          <w:b/>
          <w:bCs/>
          <w:snapToGrid w:val="0"/>
          <w:color w:val="000000"/>
        </w:rPr>
      </w:pPr>
      <w:r>
        <w:rPr>
          <w:rFonts w:ascii="宋体" w:hAnsi="宋体" w:cs="Arial"/>
          <w:b/>
          <w:bCs/>
          <w:snapToGrid w:val="0"/>
          <w:color w:val="000000"/>
        </w:rPr>
        <w:t>甲状腺癌的</w:t>
      </w:r>
      <w:r>
        <w:rPr>
          <w:rFonts w:ascii="宋体" w:hAnsi="宋体" w:cs="Arial" w:hint="eastAsia"/>
          <w:b/>
          <w:bCs/>
          <w:snapToGrid w:val="0"/>
          <w:color w:val="000000"/>
        </w:rPr>
        <w:t>T</w:t>
      </w:r>
      <w:r>
        <w:rPr>
          <w:rFonts w:ascii="宋体" w:hAnsi="宋体" w:cs="Arial"/>
          <w:b/>
          <w:bCs/>
          <w:snapToGrid w:val="0"/>
          <w:color w:val="000000"/>
        </w:rPr>
        <w:t>NM分期</w:t>
      </w:r>
    </w:p>
    <w:tbl>
      <w:tblPr>
        <w:tblStyle w:val="ae"/>
        <w:tblW w:w="9062" w:type="dxa"/>
        <w:tblLayout w:type="fixed"/>
        <w:tblLook w:val="04A0" w:firstRow="1" w:lastRow="0" w:firstColumn="1" w:lastColumn="0" w:noHBand="0" w:noVBand="1"/>
      </w:tblPr>
      <w:tblGrid>
        <w:gridCol w:w="9062"/>
      </w:tblGrid>
      <w:tr w:rsidR="008F265F" w14:paraId="453B845D" w14:textId="77777777">
        <w:tc>
          <w:tcPr>
            <w:tcW w:w="9062" w:type="dxa"/>
          </w:tcPr>
          <w:p w14:paraId="3BD36805" w14:textId="77777777" w:rsidR="008F265F" w:rsidRDefault="00A542E4">
            <w:pPr>
              <w:widowControl/>
              <w:rPr>
                <w:rFonts w:ascii="宋体" w:hAnsi="宋体" w:cs="Arial"/>
                <w:b/>
                <w:bCs/>
                <w:snapToGrid w:val="0"/>
                <w:color w:val="000000"/>
              </w:rPr>
            </w:pPr>
            <w:r>
              <w:rPr>
                <w:rFonts w:ascii="宋体" w:hAnsi="宋体" w:cs="Arial" w:hint="eastAsia"/>
                <w:snapToGrid w:val="0"/>
                <w:color w:val="000000"/>
              </w:rPr>
              <w:t>甲状腺乳头状癌、滤泡癌、低分化癌、Hürthle细胞癌和未分化癌</w:t>
            </w:r>
          </w:p>
          <w:p w14:paraId="384A6301"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X</w:t>
            </w:r>
            <w:r>
              <w:rPr>
                <w:rFonts w:ascii="宋体" w:hAnsi="宋体" w:cs="Arial" w:hint="eastAsia"/>
                <w:snapToGrid w:val="0"/>
                <w:color w:val="000000"/>
              </w:rPr>
              <w:t>：原发肿瘤不能评估</w:t>
            </w:r>
          </w:p>
          <w:p w14:paraId="18C4F961"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0</w:t>
            </w:r>
            <w:r>
              <w:rPr>
                <w:rFonts w:ascii="宋体" w:hAnsi="宋体" w:cs="Arial" w:hint="eastAsia"/>
                <w:snapToGrid w:val="0"/>
                <w:color w:val="000000"/>
              </w:rPr>
              <w:t>：无肿瘤证据</w:t>
            </w:r>
          </w:p>
          <w:p w14:paraId="579FB3D0"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1</w:t>
            </w:r>
            <w:r>
              <w:rPr>
                <w:rFonts w:ascii="宋体" w:hAnsi="宋体" w:cs="Arial" w:hint="eastAsia"/>
                <w:snapToGrid w:val="0"/>
                <w:color w:val="000000"/>
              </w:rPr>
              <w:t>：肿瘤局限在甲状腺内，最大径≤2cm</w:t>
            </w:r>
          </w:p>
          <w:p w14:paraId="24C20788" w14:textId="77777777" w:rsidR="008F265F" w:rsidRDefault="00A542E4">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1a</w:t>
            </w:r>
            <w:r>
              <w:rPr>
                <w:rFonts w:ascii="宋体" w:hAnsi="宋体" w:cs="Arial" w:hint="eastAsia"/>
                <w:snapToGrid w:val="0"/>
                <w:color w:val="000000"/>
              </w:rPr>
              <w:t xml:space="preserve"> 肿瘤最大径≤1cm</w:t>
            </w:r>
          </w:p>
          <w:p w14:paraId="42A7C57F" w14:textId="77777777" w:rsidR="008F265F" w:rsidRDefault="00A542E4">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1b</w:t>
            </w:r>
            <w:r>
              <w:rPr>
                <w:rFonts w:ascii="宋体" w:hAnsi="宋体" w:cs="Arial" w:hint="eastAsia"/>
                <w:snapToGrid w:val="0"/>
                <w:color w:val="000000"/>
              </w:rPr>
              <w:t>肿瘤最大径＞1cm，≤2cm</w:t>
            </w:r>
          </w:p>
          <w:p w14:paraId="395071DA"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2</w:t>
            </w:r>
            <w:r>
              <w:rPr>
                <w:rFonts w:ascii="宋体" w:hAnsi="宋体" w:cs="Arial" w:hint="eastAsia"/>
                <w:snapToGrid w:val="0"/>
                <w:color w:val="000000"/>
              </w:rPr>
              <w:t>：肿瘤2～</w:t>
            </w:r>
            <w:r>
              <w:rPr>
                <w:rFonts w:ascii="宋体" w:hAnsi="宋体" w:cs="Arial"/>
                <w:snapToGrid w:val="0"/>
                <w:color w:val="000000"/>
              </w:rPr>
              <w:t>4cm</w:t>
            </w:r>
          </w:p>
          <w:p w14:paraId="5E2C946E"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4cm，局限于甲状腺内或大体侵犯甲状腺外带状肌</w:t>
            </w:r>
          </w:p>
          <w:p w14:paraId="6F4730CD"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3a</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w:t>
            </w:r>
          </w:p>
          <w:p w14:paraId="19281772"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3b</w:t>
            </w:r>
            <w:r>
              <w:rPr>
                <w:rFonts w:ascii="宋体" w:hAnsi="宋体" w:cs="Arial" w:hint="eastAsia"/>
                <w:snapToGrid w:val="0"/>
                <w:color w:val="000000"/>
              </w:rPr>
              <w:t>：大体侵犯甲状腺外带状肌，无论肿瘤大小</w:t>
            </w:r>
          </w:p>
          <w:p w14:paraId="32182457" w14:textId="77777777" w:rsidR="008F265F" w:rsidRDefault="00A542E4">
            <w:pPr>
              <w:widowControl/>
              <w:ind w:firstLineChars="250" w:firstLine="525"/>
              <w:rPr>
                <w:rFonts w:ascii="宋体" w:hAnsi="宋体" w:cs="Arial"/>
                <w:b/>
                <w:bCs/>
                <w:snapToGrid w:val="0"/>
                <w:color w:val="000000"/>
              </w:rPr>
            </w:pPr>
            <w:r>
              <w:rPr>
                <w:rFonts w:ascii="宋体" w:hAnsi="宋体" w:cs="Arial" w:hint="eastAsia"/>
                <w:snapToGrid w:val="0"/>
                <w:color w:val="000000"/>
              </w:rPr>
              <w:t>带状肌包括：胸骨舌骨肌、胸骨甲状肌、甲状舌骨肌、肩胛舌骨肌</w:t>
            </w:r>
            <w:bookmarkStart w:id="5" w:name="OLE_LINK5"/>
            <w:bookmarkStart w:id="6" w:name="OLE_LINK6"/>
          </w:p>
          <w:p w14:paraId="6336F2B9"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w:t>
            </w:r>
            <w:r>
              <w:rPr>
                <w:rFonts w:ascii="宋体" w:hAnsi="宋体" w:cs="Arial" w:hint="eastAsia"/>
                <w:snapToGrid w:val="0"/>
                <w:color w:val="000000"/>
              </w:rPr>
              <w:t>：大体侵犯甲状腺外带状肌外</w:t>
            </w:r>
          </w:p>
          <w:p w14:paraId="4E0A8A3C"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4a</w:t>
            </w:r>
            <w:r>
              <w:rPr>
                <w:rFonts w:ascii="宋体" w:hAnsi="宋体" w:cs="Arial" w:hint="eastAsia"/>
                <w:snapToGrid w:val="0"/>
                <w:color w:val="000000"/>
              </w:rPr>
              <w:t>：侵犯喉、气管、食管、喉反神经及皮下软组织</w:t>
            </w:r>
          </w:p>
          <w:p w14:paraId="0565F046" w14:textId="2C57F943"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4b</w:t>
            </w:r>
            <w:r>
              <w:rPr>
                <w:rFonts w:ascii="宋体" w:hAnsi="宋体" w:cs="Arial" w:hint="eastAsia"/>
                <w:snapToGrid w:val="0"/>
                <w:color w:val="000000"/>
              </w:rPr>
              <w:t>：侵犯椎前筋膜，或包裹颈动脉、纵隔血管</w:t>
            </w:r>
            <w:bookmarkEnd w:id="5"/>
            <w:bookmarkEnd w:id="6"/>
          </w:p>
          <w:p w14:paraId="32BF640E" w14:textId="77777777" w:rsidR="008F265F" w:rsidRDefault="00A542E4">
            <w:pPr>
              <w:widowControl/>
              <w:rPr>
                <w:rFonts w:ascii="宋体" w:hAnsi="宋体" w:cs="Arial"/>
                <w:b/>
                <w:bCs/>
                <w:snapToGrid w:val="0"/>
                <w:color w:val="000000"/>
              </w:rPr>
            </w:pPr>
            <w:r>
              <w:rPr>
                <w:rFonts w:ascii="宋体" w:hAnsi="宋体" w:cs="Arial" w:hint="eastAsia"/>
                <w:snapToGrid w:val="0"/>
                <w:color w:val="000000"/>
              </w:rPr>
              <w:t>甲状腺髓样癌</w:t>
            </w:r>
          </w:p>
          <w:p w14:paraId="736E3085"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x</w:t>
            </w:r>
            <w:r>
              <w:rPr>
                <w:rFonts w:ascii="宋体" w:hAnsi="宋体" w:cs="Arial" w:hint="eastAsia"/>
                <w:snapToGrid w:val="0"/>
                <w:color w:val="000000"/>
              </w:rPr>
              <w:t>：原发肿瘤不能评估</w:t>
            </w:r>
          </w:p>
          <w:p w14:paraId="65484A70"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0</w:t>
            </w:r>
            <w:r>
              <w:rPr>
                <w:rFonts w:ascii="宋体" w:hAnsi="宋体" w:cs="Arial" w:hint="eastAsia"/>
                <w:snapToGrid w:val="0"/>
                <w:color w:val="000000"/>
              </w:rPr>
              <w:t>：无肿瘤证据</w:t>
            </w:r>
          </w:p>
          <w:p w14:paraId="215C88BA"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1</w:t>
            </w:r>
            <w:r>
              <w:rPr>
                <w:rFonts w:ascii="宋体" w:hAnsi="宋体" w:cs="Arial" w:hint="eastAsia"/>
                <w:snapToGrid w:val="0"/>
                <w:color w:val="000000"/>
              </w:rPr>
              <w:t>：肿瘤局限在甲状腺内，最大径≤2cm</w:t>
            </w:r>
          </w:p>
          <w:p w14:paraId="75F5F978" w14:textId="77777777" w:rsidR="008F265F" w:rsidRDefault="00A542E4">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1a</w:t>
            </w:r>
            <w:r>
              <w:rPr>
                <w:rFonts w:ascii="宋体" w:hAnsi="宋体" w:cs="Arial" w:hint="eastAsia"/>
                <w:snapToGrid w:val="0"/>
                <w:color w:val="000000"/>
              </w:rPr>
              <w:t>肿瘤最大径≤1cm</w:t>
            </w:r>
          </w:p>
          <w:p w14:paraId="78706FBE" w14:textId="77777777" w:rsidR="008F265F" w:rsidRDefault="00A542E4">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1b</w:t>
            </w:r>
            <w:r>
              <w:rPr>
                <w:rFonts w:ascii="宋体" w:hAnsi="宋体" w:cs="Arial" w:hint="eastAsia"/>
                <w:snapToGrid w:val="0"/>
                <w:color w:val="000000"/>
              </w:rPr>
              <w:t>肿瘤最大径＞1cm，≤2cm</w:t>
            </w:r>
          </w:p>
          <w:p w14:paraId="0C7BD5AC"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2</w:t>
            </w:r>
            <w:r>
              <w:rPr>
                <w:rFonts w:ascii="宋体" w:hAnsi="宋体" w:cs="Arial" w:hint="eastAsia"/>
                <w:snapToGrid w:val="0"/>
                <w:color w:val="000000"/>
              </w:rPr>
              <w:t>：肿瘤2～</w:t>
            </w:r>
            <w:r>
              <w:rPr>
                <w:rFonts w:ascii="宋体" w:hAnsi="宋体" w:cs="Arial"/>
                <w:snapToGrid w:val="0"/>
                <w:color w:val="000000"/>
              </w:rPr>
              <w:t>4cm</w:t>
            </w:r>
          </w:p>
          <w:p w14:paraId="05C0CE87"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4cm，局限于甲状腺内或大体侵犯甲状腺外带状肌</w:t>
            </w:r>
          </w:p>
          <w:p w14:paraId="50BFB682"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3a</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w:t>
            </w:r>
          </w:p>
          <w:p w14:paraId="65C96C2C"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3b</w:t>
            </w:r>
            <w:r>
              <w:rPr>
                <w:rFonts w:ascii="宋体" w:hAnsi="宋体" w:cs="Arial" w:hint="eastAsia"/>
                <w:snapToGrid w:val="0"/>
                <w:color w:val="000000"/>
              </w:rPr>
              <w:t>：大体侵犯甲状腺外带状肌，无论肿瘤大小</w:t>
            </w:r>
          </w:p>
          <w:p w14:paraId="7B47B0BE" w14:textId="77777777" w:rsidR="008F265F" w:rsidRDefault="00A542E4">
            <w:pPr>
              <w:widowControl/>
              <w:ind w:firstLineChars="250" w:firstLine="525"/>
              <w:rPr>
                <w:rFonts w:ascii="宋体" w:hAnsi="宋体" w:cs="Arial"/>
                <w:b/>
                <w:bCs/>
                <w:snapToGrid w:val="0"/>
                <w:color w:val="000000"/>
              </w:rPr>
            </w:pPr>
            <w:r>
              <w:rPr>
                <w:rFonts w:ascii="宋体" w:hAnsi="宋体" w:cs="Arial" w:hint="eastAsia"/>
                <w:snapToGrid w:val="0"/>
                <w:color w:val="000000"/>
              </w:rPr>
              <w:t>带状肌包括：胸骨舌骨肌、胸骨甲状肌、甲状舌骨肌、肩胛舌骨肌</w:t>
            </w:r>
          </w:p>
          <w:p w14:paraId="08546449"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w:t>
            </w:r>
            <w:r>
              <w:rPr>
                <w:rFonts w:ascii="宋体" w:hAnsi="宋体" w:cs="Arial" w:hint="eastAsia"/>
                <w:snapToGrid w:val="0"/>
                <w:color w:val="000000"/>
              </w:rPr>
              <w:t>：进展期病变</w:t>
            </w:r>
          </w:p>
          <w:p w14:paraId="2897F05B"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4a</w:t>
            </w:r>
            <w:r>
              <w:rPr>
                <w:rFonts w:ascii="宋体" w:hAnsi="宋体" w:cs="Arial" w:hint="eastAsia"/>
                <w:snapToGrid w:val="0"/>
                <w:color w:val="000000"/>
              </w:rPr>
              <w:t>：中度进展，任何大小的肿瘤，侵犯甲状腺外颈部周围器官和软组织，如喉、气管、食管、喉反神经及皮下软组织</w:t>
            </w:r>
          </w:p>
          <w:p w14:paraId="67EC907F" w14:textId="77777777" w:rsidR="008F265F" w:rsidRDefault="00A542E4">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4b</w:t>
            </w:r>
            <w:r>
              <w:rPr>
                <w:rFonts w:ascii="宋体" w:hAnsi="宋体" w:cs="Arial" w:hint="eastAsia"/>
                <w:snapToGrid w:val="0"/>
                <w:color w:val="000000"/>
              </w:rPr>
              <w:t>：</w:t>
            </w:r>
            <w:r>
              <w:rPr>
                <w:rFonts w:ascii="宋体" w:hAnsi="宋体" w:cs="Arial"/>
                <w:snapToGrid w:val="0"/>
                <w:color w:val="000000"/>
              </w:rPr>
              <w:t xml:space="preserve"> </w:t>
            </w:r>
            <w:r>
              <w:rPr>
                <w:rFonts w:ascii="宋体" w:hAnsi="宋体" w:cs="Arial" w:hint="eastAsia"/>
                <w:snapToGrid w:val="0"/>
                <w:color w:val="000000"/>
              </w:rPr>
              <w:t>重度进展，任何大小的肿瘤，侵犯椎前筋膜，或包裹颈动脉、纵隔血管</w:t>
            </w:r>
          </w:p>
          <w:p w14:paraId="7970563D" w14:textId="77777777" w:rsidR="008F265F" w:rsidRDefault="00A542E4">
            <w:pPr>
              <w:widowControl/>
              <w:rPr>
                <w:rFonts w:ascii="宋体" w:hAnsi="宋体" w:cs="Arial"/>
                <w:snapToGrid w:val="0"/>
                <w:color w:val="000000"/>
              </w:rPr>
            </w:pPr>
            <w:r>
              <w:rPr>
                <w:rFonts w:ascii="宋体" w:hAnsi="宋体" w:cs="Arial" w:hint="eastAsia"/>
                <w:snapToGrid w:val="0"/>
                <w:color w:val="000000"/>
              </w:rPr>
              <w:t>区域淋巴结：适用于所有甲状腺癌</w:t>
            </w:r>
          </w:p>
          <w:p w14:paraId="65A956E5" w14:textId="77777777" w:rsidR="008F265F" w:rsidRDefault="00A542E4">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x</w:t>
            </w:r>
            <w:r>
              <w:rPr>
                <w:rFonts w:ascii="宋体" w:hAnsi="宋体" w:cs="Arial"/>
                <w:snapToGrid w:val="0"/>
                <w:color w:val="000000"/>
              </w:rPr>
              <w:t>：</w:t>
            </w:r>
            <w:r>
              <w:rPr>
                <w:rFonts w:ascii="宋体" w:hAnsi="宋体" w:cs="Arial" w:hint="eastAsia"/>
                <w:snapToGrid w:val="0"/>
                <w:color w:val="000000"/>
              </w:rPr>
              <w:t>区域</w:t>
            </w:r>
            <w:r>
              <w:rPr>
                <w:rFonts w:ascii="宋体" w:hAnsi="宋体" w:cs="Arial"/>
                <w:snapToGrid w:val="0"/>
                <w:color w:val="000000"/>
              </w:rPr>
              <w:t>淋巴结无法评估</w:t>
            </w:r>
          </w:p>
          <w:p w14:paraId="2C778F65" w14:textId="77777777" w:rsidR="008F265F" w:rsidRDefault="00A542E4">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0</w:t>
            </w:r>
            <w:r>
              <w:rPr>
                <w:rFonts w:ascii="宋体" w:hAnsi="宋体" w:cs="Arial" w:hint="eastAsia"/>
                <w:snapToGrid w:val="0"/>
                <w:color w:val="000000"/>
              </w:rPr>
              <w:t>：无淋巴结转移证据</w:t>
            </w:r>
          </w:p>
          <w:p w14:paraId="01C4E75E" w14:textId="77777777" w:rsidR="008F265F" w:rsidRDefault="00A542E4">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1</w:t>
            </w:r>
            <w:r>
              <w:rPr>
                <w:rFonts w:ascii="宋体" w:hAnsi="宋体" w:cs="Arial" w:hint="eastAsia"/>
                <w:snapToGrid w:val="0"/>
                <w:color w:val="000000"/>
              </w:rPr>
              <w:t>：区域淋巴结转移</w:t>
            </w:r>
          </w:p>
          <w:p w14:paraId="79ECB42C" w14:textId="77777777" w:rsidR="008F265F" w:rsidRDefault="00A542E4">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1a</w:t>
            </w:r>
            <w:r>
              <w:rPr>
                <w:rFonts w:ascii="宋体" w:hAnsi="宋体" w:cs="Arial" w:hint="eastAsia"/>
                <w:snapToGrid w:val="0"/>
                <w:color w:val="000000"/>
              </w:rPr>
              <w:t>：转移至Ⅵ、Ⅶ区（包括气管旁、气管前、喉前/Delphian或上纵隔）淋巴结，可以为单侧或双侧。</w:t>
            </w:r>
          </w:p>
          <w:p w14:paraId="08C8F094" w14:textId="77777777" w:rsidR="008F265F" w:rsidRDefault="00A542E4">
            <w:pPr>
              <w:widowControl/>
              <w:rPr>
                <w:rFonts w:ascii="宋体" w:hAnsi="宋体" w:cs="Arial"/>
                <w:snapToGrid w:val="0"/>
                <w:color w:val="000000"/>
              </w:rPr>
            </w:pPr>
            <w:r>
              <w:rPr>
                <w:rFonts w:ascii="宋体" w:hAnsi="宋体" w:cs="Arial"/>
                <w:snapToGrid w:val="0"/>
                <w:color w:val="000000"/>
              </w:rPr>
              <w:t>pN</w:t>
            </w:r>
            <w:r>
              <w:rPr>
                <w:rFonts w:ascii="宋体" w:hAnsi="宋体" w:cs="Arial"/>
                <w:snapToGrid w:val="0"/>
                <w:color w:val="000000"/>
                <w:vertAlign w:val="subscript"/>
              </w:rPr>
              <w:t>1b</w:t>
            </w:r>
            <w:r>
              <w:rPr>
                <w:rFonts w:ascii="宋体" w:hAnsi="宋体" w:cs="Arial" w:hint="eastAsia"/>
                <w:snapToGrid w:val="0"/>
                <w:color w:val="000000"/>
              </w:rPr>
              <w:t>：单侧、双侧或对侧颈淋巴结转移（包括Ⅰ、Ⅱ、Ⅲ、Ⅳ或Ⅴ区）淋巴结或咽后淋巴结转移。</w:t>
            </w:r>
          </w:p>
          <w:p w14:paraId="1FC21A3C" w14:textId="77777777" w:rsidR="008F265F" w:rsidRDefault="00A542E4">
            <w:pPr>
              <w:widowControl/>
              <w:rPr>
                <w:rFonts w:ascii="宋体" w:hAnsi="宋体" w:cs="Arial"/>
                <w:snapToGrid w:val="0"/>
                <w:color w:val="000000"/>
              </w:rPr>
            </w:pPr>
            <w:r>
              <w:rPr>
                <w:rFonts w:ascii="宋体" w:hAnsi="宋体" w:cs="Arial"/>
                <w:snapToGrid w:val="0"/>
                <w:color w:val="000000"/>
              </w:rPr>
              <w:t>远处转移</w:t>
            </w:r>
            <w:r>
              <w:rPr>
                <w:rFonts w:ascii="宋体" w:hAnsi="宋体" w:cs="Arial" w:hint="eastAsia"/>
                <w:snapToGrid w:val="0"/>
                <w:color w:val="000000"/>
              </w:rPr>
              <w:t>：</w:t>
            </w:r>
            <w:r>
              <w:rPr>
                <w:rFonts w:ascii="宋体" w:hAnsi="宋体" w:cs="Arial"/>
                <w:snapToGrid w:val="0"/>
                <w:color w:val="000000"/>
              </w:rPr>
              <w:t>适用于所有甲状腺癌</w:t>
            </w:r>
          </w:p>
          <w:p w14:paraId="747539AC" w14:textId="77777777" w:rsidR="008F265F" w:rsidRDefault="00A542E4">
            <w:pPr>
              <w:widowControl/>
              <w:rPr>
                <w:rFonts w:ascii="宋体" w:hAnsi="宋体" w:cs="Arial"/>
                <w:snapToGrid w:val="0"/>
                <w:color w:val="000000"/>
              </w:rPr>
            </w:pPr>
            <w:r>
              <w:rPr>
                <w:rFonts w:ascii="宋体" w:hAnsi="宋体" w:cs="Arial" w:hint="eastAsia"/>
                <w:snapToGrid w:val="0"/>
                <w:color w:val="000000"/>
              </w:rPr>
              <w:t>M</w:t>
            </w:r>
            <w:r>
              <w:rPr>
                <w:rFonts w:ascii="宋体" w:hAnsi="宋体" w:cs="Arial"/>
                <w:snapToGrid w:val="0"/>
                <w:color w:val="000000"/>
                <w:vertAlign w:val="subscript"/>
              </w:rPr>
              <w:t>0</w:t>
            </w:r>
            <w:r>
              <w:rPr>
                <w:rFonts w:ascii="宋体" w:hAnsi="宋体" w:cs="Arial" w:hint="eastAsia"/>
                <w:snapToGrid w:val="0"/>
                <w:color w:val="000000"/>
              </w:rPr>
              <w:t>：无远处转移</w:t>
            </w:r>
          </w:p>
          <w:p w14:paraId="50327F6F" w14:textId="77777777" w:rsidR="008F265F" w:rsidRDefault="00A542E4">
            <w:pPr>
              <w:widowControl/>
              <w:rPr>
                <w:rFonts w:ascii="宋体" w:hAnsi="宋体" w:cs="Arial"/>
                <w:snapToGrid w:val="0"/>
                <w:color w:val="000000"/>
              </w:rPr>
            </w:pPr>
            <w:r>
              <w:rPr>
                <w:rFonts w:ascii="宋体" w:hAnsi="宋体" w:cs="Arial" w:hint="eastAsia"/>
                <w:snapToGrid w:val="0"/>
                <w:color w:val="000000"/>
              </w:rPr>
              <w:t>M</w:t>
            </w:r>
            <w:r>
              <w:rPr>
                <w:rFonts w:ascii="宋体" w:hAnsi="宋体" w:cs="Arial"/>
                <w:snapToGrid w:val="0"/>
                <w:color w:val="000000"/>
                <w:vertAlign w:val="subscript"/>
              </w:rPr>
              <w:t>1</w:t>
            </w:r>
            <w:r>
              <w:rPr>
                <w:rFonts w:ascii="宋体" w:hAnsi="宋体" w:cs="Arial" w:hint="eastAsia"/>
                <w:snapToGrid w:val="0"/>
                <w:color w:val="000000"/>
              </w:rPr>
              <w:t>：有远处转移</w:t>
            </w:r>
          </w:p>
          <w:tbl>
            <w:tblPr>
              <w:tblStyle w:val="41"/>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043"/>
              <w:gridCol w:w="1415"/>
              <w:gridCol w:w="1409"/>
              <w:gridCol w:w="1969"/>
            </w:tblGrid>
            <w:tr w:rsidR="008F265F" w14:paraId="54DC2877" w14:textId="77777777" w:rsidTr="008F265F">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3C4F9A38"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乳头状或滤泡状癌（分化型）</w:t>
                  </w:r>
                </w:p>
              </w:tc>
            </w:tr>
            <w:tr w:rsidR="008F265F" w14:paraId="06057A0B"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1D093A12"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年龄＜55周岁</w:t>
                  </w:r>
                </w:p>
              </w:tc>
            </w:tr>
            <w:tr w:rsidR="008F265F" w14:paraId="2E100F2F"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1B279FA3" w14:textId="77777777" w:rsidR="008F265F" w:rsidRDefault="008F265F">
                  <w:pPr>
                    <w:rPr>
                      <w:rFonts w:ascii="宋体" w:hAnsi="宋体" w:cs="Arial"/>
                      <w:b w:val="0"/>
                      <w:bCs w:val="0"/>
                      <w:snapToGrid w:val="0"/>
                      <w:color w:val="000000"/>
                    </w:rPr>
                  </w:pPr>
                </w:p>
              </w:tc>
              <w:tc>
                <w:tcPr>
                  <w:tcW w:w="1415" w:type="dxa"/>
                  <w:shd w:val="clear" w:color="auto" w:fill="FFFFFF"/>
                </w:tcPr>
                <w:p w14:paraId="5A23E710"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T</w:t>
                  </w:r>
                </w:p>
              </w:tc>
              <w:tc>
                <w:tcPr>
                  <w:tcW w:w="1409" w:type="dxa"/>
                  <w:shd w:val="clear" w:color="auto" w:fill="FFFFFF"/>
                </w:tcPr>
                <w:p w14:paraId="2E642928"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N</w:t>
                  </w:r>
                </w:p>
              </w:tc>
              <w:tc>
                <w:tcPr>
                  <w:tcW w:w="1969" w:type="dxa"/>
                  <w:shd w:val="clear" w:color="auto" w:fill="FFFFFF"/>
                </w:tcPr>
                <w:p w14:paraId="538B9CED"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M</w:t>
                  </w:r>
                </w:p>
              </w:tc>
            </w:tr>
            <w:tr w:rsidR="008F265F" w14:paraId="4697B3A5"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392344CF"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Ⅰ期</w:t>
                  </w:r>
                </w:p>
              </w:tc>
              <w:tc>
                <w:tcPr>
                  <w:tcW w:w="1415" w:type="dxa"/>
                  <w:shd w:val="clear" w:color="auto" w:fill="FFFFFF"/>
                </w:tcPr>
                <w:p w14:paraId="19137EA9"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1BEEDB7C"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3566DF77"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29309BB5"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44D38B7F"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Ⅱ期</w:t>
                  </w:r>
                </w:p>
              </w:tc>
              <w:tc>
                <w:tcPr>
                  <w:tcW w:w="1415" w:type="dxa"/>
                  <w:shd w:val="clear" w:color="auto" w:fill="FFFFFF"/>
                </w:tcPr>
                <w:p w14:paraId="029B56B7"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1C5A5A36"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51439825"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r w:rsidR="008F265F" w14:paraId="460F82B3"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48D2478B"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年龄≥55周岁</w:t>
                  </w:r>
                </w:p>
              </w:tc>
            </w:tr>
            <w:tr w:rsidR="008F265F" w14:paraId="3F2D1CED"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5C15F9BF"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Ⅰ期</w:t>
                  </w:r>
                </w:p>
              </w:tc>
              <w:tc>
                <w:tcPr>
                  <w:tcW w:w="1415" w:type="dxa"/>
                  <w:shd w:val="clear" w:color="auto" w:fill="FFFFFF"/>
                </w:tcPr>
                <w:p w14:paraId="521B03BB"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409" w:type="dxa"/>
                  <w:shd w:val="clear" w:color="auto" w:fill="FFFFFF"/>
                </w:tcPr>
                <w:p w14:paraId="716AF39F"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0/x</w:t>
                  </w:r>
                </w:p>
              </w:tc>
              <w:tc>
                <w:tcPr>
                  <w:tcW w:w="1969" w:type="dxa"/>
                  <w:shd w:val="clear" w:color="auto" w:fill="FFFFFF"/>
                </w:tcPr>
                <w:p w14:paraId="2F112109"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724B26E0"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40BB94F4" w14:textId="77777777" w:rsidR="008F265F" w:rsidRDefault="008F265F">
                  <w:pPr>
                    <w:rPr>
                      <w:rFonts w:ascii="宋体" w:hAnsi="宋体" w:cs="Arial"/>
                      <w:b w:val="0"/>
                      <w:bCs w:val="0"/>
                      <w:snapToGrid w:val="0"/>
                      <w:color w:val="000000"/>
                    </w:rPr>
                  </w:pPr>
                </w:p>
              </w:tc>
              <w:tc>
                <w:tcPr>
                  <w:tcW w:w="1415" w:type="dxa"/>
                  <w:shd w:val="clear" w:color="auto" w:fill="FFFFFF"/>
                </w:tcPr>
                <w:p w14:paraId="774E1AD8"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2</w:t>
                  </w:r>
                </w:p>
              </w:tc>
              <w:tc>
                <w:tcPr>
                  <w:tcW w:w="1409" w:type="dxa"/>
                  <w:shd w:val="clear" w:color="auto" w:fill="FFFFFF"/>
                </w:tcPr>
                <w:p w14:paraId="0A68D83E"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0/x</w:t>
                  </w:r>
                </w:p>
              </w:tc>
              <w:tc>
                <w:tcPr>
                  <w:tcW w:w="1969" w:type="dxa"/>
                  <w:shd w:val="clear" w:color="auto" w:fill="FFFFFF"/>
                </w:tcPr>
                <w:p w14:paraId="733C7B17"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1CB1576F"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481F5397"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Ⅱ期</w:t>
                  </w:r>
                </w:p>
              </w:tc>
              <w:tc>
                <w:tcPr>
                  <w:tcW w:w="1415" w:type="dxa"/>
                  <w:shd w:val="clear" w:color="auto" w:fill="FFFFFF"/>
                </w:tcPr>
                <w:p w14:paraId="74D69734"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1～2</w:t>
                  </w:r>
                </w:p>
              </w:tc>
              <w:tc>
                <w:tcPr>
                  <w:tcW w:w="1409" w:type="dxa"/>
                  <w:shd w:val="clear" w:color="auto" w:fill="FFFFFF"/>
                </w:tcPr>
                <w:p w14:paraId="67738D71"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969" w:type="dxa"/>
                  <w:shd w:val="clear" w:color="auto" w:fill="FFFFFF"/>
                </w:tcPr>
                <w:p w14:paraId="57060316"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69B279FB"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5A73FB24" w14:textId="77777777" w:rsidR="008F265F" w:rsidRDefault="008F265F">
                  <w:pPr>
                    <w:rPr>
                      <w:rFonts w:ascii="宋体" w:hAnsi="宋体" w:cs="Arial"/>
                      <w:b w:val="0"/>
                      <w:bCs w:val="0"/>
                      <w:snapToGrid w:val="0"/>
                      <w:color w:val="000000"/>
                    </w:rPr>
                  </w:pPr>
                </w:p>
              </w:tc>
              <w:tc>
                <w:tcPr>
                  <w:tcW w:w="1415" w:type="dxa"/>
                  <w:shd w:val="clear" w:color="auto" w:fill="FFFFFF"/>
                </w:tcPr>
                <w:p w14:paraId="2E76684D"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3a～3b</w:t>
                  </w:r>
                </w:p>
              </w:tc>
              <w:tc>
                <w:tcPr>
                  <w:tcW w:w="1409" w:type="dxa"/>
                  <w:shd w:val="clear" w:color="auto" w:fill="FFFFFF"/>
                </w:tcPr>
                <w:p w14:paraId="0F8C0BBF"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0AAB5397"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0A064446"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7EFE7FE0"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Ⅲ期</w:t>
                  </w:r>
                </w:p>
              </w:tc>
              <w:tc>
                <w:tcPr>
                  <w:tcW w:w="1415" w:type="dxa"/>
                  <w:shd w:val="clear" w:color="auto" w:fill="FFFFFF"/>
                </w:tcPr>
                <w:p w14:paraId="047CB196"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4a</w:t>
                  </w:r>
                </w:p>
              </w:tc>
              <w:tc>
                <w:tcPr>
                  <w:tcW w:w="1409" w:type="dxa"/>
                  <w:shd w:val="clear" w:color="auto" w:fill="FFFFFF"/>
                </w:tcPr>
                <w:p w14:paraId="3EB568B0"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507DED52"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28D4FA84"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2D75F0F8"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ⅣA期</w:t>
                  </w:r>
                </w:p>
              </w:tc>
              <w:tc>
                <w:tcPr>
                  <w:tcW w:w="1415" w:type="dxa"/>
                  <w:shd w:val="clear" w:color="auto" w:fill="FFFFFF"/>
                </w:tcPr>
                <w:p w14:paraId="20AA3522"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4b</w:t>
                  </w:r>
                </w:p>
              </w:tc>
              <w:tc>
                <w:tcPr>
                  <w:tcW w:w="1409" w:type="dxa"/>
                  <w:shd w:val="clear" w:color="auto" w:fill="FFFFFF"/>
                </w:tcPr>
                <w:p w14:paraId="3CC5276D"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728664C6"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19CC7280"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0D9B53BA"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ⅣB期</w:t>
                  </w:r>
                </w:p>
              </w:tc>
              <w:tc>
                <w:tcPr>
                  <w:tcW w:w="1415" w:type="dxa"/>
                  <w:shd w:val="clear" w:color="auto" w:fill="FFFFFF"/>
                </w:tcPr>
                <w:p w14:paraId="1AE7BBC6"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471B4D0E"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7D67FFC7"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r w:rsidR="008F265F" w14:paraId="73DEE4D4"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5351600E"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髓样癌（所有年龄组）</w:t>
                  </w:r>
                </w:p>
              </w:tc>
            </w:tr>
            <w:tr w:rsidR="008F265F" w14:paraId="6A660D41"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48FDA0DC"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Ⅰ期</w:t>
                  </w:r>
                </w:p>
              </w:tc>
              <w:tc>
                <w:tcPr>
                  <w:tcW w:w="1415" w:type="dxa"/>
                  <w:shd w:val="clear" w:color="auto" w:fill="FFFFFF"/>
                </w:tcPr>
                <w:p w14:paraId="4510FDE6"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409" w:type="dxa"/>
                  <w:shd w:val="clear" w:color="auto" w:fill="FFFFFF"/>
                </w:tcPr>
                <w:p w14:paraId="37E94290"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c>
                <w:tcPr>
                  <w:tcW w:w="1969" w:type="dxa"/>
                  <w:shd w:val="clear" w:color="auto" w:fill="FFFFFF"/>
                </w:tcPr>
                <w:p w14:paraId="0AAB5845"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3E43C34F"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68176DAC"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Ⅱ期</w:t>
                  </w:r>
                </w:p>
              </w:tc>
              <w:tc>
                <w:tcPr>
                  <w:tcW w:w="1415" w:type="dxa"/>
                  <w:shd w:val="clear" w:color="auto" w:fill="FFFFFF"/>
                </w:tcPr>
                <w:p w14:paraId="65D75160"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2～3</w:t>
                  </w:r>
                </w:p>
              </w:tc>
              <w:tc>
                <w:tcPr>
                  <w:tcW w:w="1409" w:type="dxa"/>
                  <w:shd w:val="clear" w:color="auto" w:fill="FFFFFF"/>
                </w:tcPr>
                <w:p w14:paraId="1059AD50"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c>
                <w:tcPr>
                  <w:tcW w:w="1969" w:type="dxa"/>
                  <w:shd w:val="clear" w:color="auto" w:fill="FFFFFF"/>
                </w:tcPr>
                <w:p w14:paraId="5B5A9CF1"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1A1AFEBB"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48A88DE8"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Ⅲ期</w:t>
                  </w:r>
                </w:p>
              </w:tc>
              <w:tc>
                <w:tcPr>
                  <w:tcW w:w="1415" w:type="dxa"/>
                  <w:shd w:val="clear" w:color="auto" w:fill="FFFFFF"/>
                </w:tcPr>
                <w:p w14:paraId="0558DFD1"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w:t>
                  </w:r>
                </w:p>
              </w:tc>
              <w:tc>
                <w:tcPr>
                  <w:tcW w:w="1409" w:type="dxa"/>
                  <w:shd w:val="clear" w:color="auto" w:fill="FFFFFF"/>
                </w:tcPr>
                <w:p w14:paraId="3D8F02EF"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1a</w:t>
                  </w:r>
                </w:p>
              </w:tc>
              <w:tc>
                <w:tcPr>
                  <w:tcW w:w="1969" w:type="dxa"/>
                  <w:shd w:val="clear" w:color="auto" w:fill="FFFFFF"/>
                </w:tcPr>
                <w:p w14:paraId="32705288"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554E3757"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18AAFED0"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ⅣA期</w:t>
                  </w:r>
                </w:p>
              </w:tc>
              <w:tc>
                <w:tcPr>
                  <w:tcW w:w="1415" w:type="dxa"/>
                  <w:shd w:val="clear" w:color="auto" w:fill="FFFFFF"/>
                </w:tcPr>
                <w:p w14:paraId="72FE31D9"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4a</w:t>
                  </w:r>
                </w:p>
              </w:tc>
              <w:tc>
                <w:tcPr>
                  <w:tcW w:w="1409" w:type="dxa"/>
                  <w:shd w:val="clear" w:color="auto" w:fill="FFFFFF"/>
                </w:tcPr>
                <w:p w14:paraId="1CCB4C31"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3E36BF1B"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06BCBF4D"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34ADD7DA" w14:textId="77777777" w:rsidR="008F265F" w:rsidRDefault="008F265F">
                  <w:pPr>
                    <w:rPr>
                      <w:rFonts w:ascii="宋体" w:hAnsi="宋体" w:cs="Arial"/>
                      <w:b w:val="0"/>
                      <w:bCs w:val="0"/>
                      <w:snapToGrid w:val="0"/>
                      <w:color w:val="000000"/>
                    </w:rPr>
                  </w:pPr>
                </w:p>
              </w:tc>
              <w:tc>
                <w:tcPr>
                  <w:tcW w:w="1415" w:type="dxa"/>
                  <w:shd w:val="clear" w:color="auto" w:fill="FFFFFF"/>
                </w:tcPr>
                <w:p w14:paraId="0C3E9878"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w:t>
                  </w:r>
                </w:p>
              </w:tc>
              <w:tc>
                <w:tcPr>
                  <w:tcW w:w="1409" w:type="dxa"/>
                  <w:shd w:val="clear" w:color="auto" w:fill="FFFFFF"/>
                </w:tcPr>
                <w:p w14:paraId="586BF801"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1b</w:t>
                  </w:r>
                </w:p>
              </w:tc>
              <w:tc>
                <w:tcPr>
                  <w:tcW w:w="1969" w:type="dxa"/>
                  <w:shd w:val="clear" w:color="auto" w:fill="FFFFFF"/>
                </w:tcPr>
                <w:p w14:paraId="411611FC"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15EF5882" w14:textId="77777777" w:rsidTr="008F265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12039CC8"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ⅣB期</w:t>
                  </w:r>
                </w:p>
              </w:tc>
              <w:tc>
                <w:tcPr>
                  <w:tcW w:w="1415" w:type="dxa"/>
                  <w:shd w:val="clear" w:color="auto" w:fill="FFFFFF"/>
                </w:tcPr>
                <w:p w14:paraId="2FA253CA"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4b</w:t>
                  </w:r>
                </w:p>
              </w:tc>
              <w:tc>
                <w:tcPr>
                  <w:tcW w:w="1409" w:type="dxa"/>
                  <w:shd w:val="clear" w:color="auto" w:fill="FFFFFF"/>
                </w:tcPr>
                <w:p w14:paraId="01752987"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06C6DBEA"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13B9649D"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1A23308F"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ⅣC期</w:t>
                  </w:r>
                </w:p>
              </w:tc>
              <w:tc>
                <w:tcPr>
                  <w:tcW w:w="1415" w:type="dxa"/>
                  <w:shd w:val="clear" w:color="auto" w:fill="FFFFFF"/>
                </w:tcPr>
                <w:p w14:paraId="530A980E"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587838D3"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1728CFD2"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r w:rsidR="008F265F" w14:paraId="4F06EC3C"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14:paraId="4A558CCA"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未分化癌（所有年龄组）</w:t>
                  </w:r>
                </w:p>
              </w:tc>
            </w:tr>
            <w:tr w:rsidR="008F265F" w14:paraId="512A1F8F"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57A1A53E"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ⅣA期</w:t>
                  </w:r>
                </w:p>
              </w:tc>
              <w:tc>
                <w:tcPr>
                  <w:tcW w:w="1415" w:type="dxa"/>
                  <w:shd w:val="clear" w:color="auto" w:fill="FFFFFF"/>
                </w:tcPr>
                <w:p w14:paraId="6F4D277E"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1～3a</w:t>
                  </w:r>
                </w:p>
              </w:tc>
              <w:tc>
                <w:tcPr>
                  <w:tcW w:w="1409" w:type="dxa"/>
                  <w:shd w:val="clear" w:color="auto" w:fill="FFFFFF"/>
                </w:tcPr>
                <w:p w14:paraId="7DF10328"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0/x</w:t>
                  </w:r>
                </w:p>
              </w:tc>
              <w:tc>
                <w:tcPr>
                  <w:tcW w:w="1969" w:type="dxa"/>
                  <w:shd w:val="clear" w:color="auto" w:fill="FFFFFF"/>
                </w:tcPr>
                <w:p w14:paraId="22131570"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781829E4"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5809A1CA"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ⅣB期</w:t>
                  </w:r>
                </w:p>
              </w:tc>
              <w:tc>
                <w:tcPr>
                  <w:tcW w:w="1415" w:type="dxa"/>
                  <w:shd w:val="clear" w:color="auto" w:fill="FFFFFF"/>
                </w:tcPr>
                <w:p w14:paraId="0490B15B"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1～3a</w:t>
                  </w:r>
                </w:p>
              </w:tc>
              <w:tc>
                <w:tcPr>
                  <w:tcW w:w="1409" w:type="dxa"/>
                  <w:shd w:val="clear" w:color="auto" w:fill="FFFFFF"/>
                </w:tcPr>
                <w:p w14:paraId="3DF0A3E9"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969" w:type="dxa"/>
                  <w:shd w:val="clear" w:color="auto" w:fill="FFFFFF"/>
                </w:tcPr>
                <w:p w14:paraId="53CCEFCB"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613F8F76"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520C064A" w14:textId="77777777" w:rsidR="008F265F" w:rsidRDefault="008F265F">
                  <w:pPr>
                    <w:rPr>
                      <w:rFonts w:ascii="宋体" w:hAnsi="宋体" w:cs="Arial"/>
                      <w:b w:val="0"/>
                      <w:bCs w:val="0"/>
                      <w:snapToGrid w:val="0"/>
                      <w:color w:val="000000"/>
                    </w:rPr>
                  </w:pPr>
                </w:p>
              </w:tc>
              <w:tc>
                <w:tcPr>
                  <w:tcW w:w="1415" w:type="dxa"/>
                  <w:shd w:val="clear" w:color="auto" w:fill="FFFFFF"/>
                </w:tcPr>
                <w:p w14:paraId="325A2577"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3b～4</w:t>
                  </w:r>
                </w:p>
              </w:tc>
              <w:tc>
                <w:tcPr>
                  <w:tcW w:w="1409" w:type="dxa"/>
                  <w:shd w:val="clear" w:color="auto" w:fill="FFFFFF"/>
                </w:tcPr>
                <w:p w14:paraId="475C253D"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350D7B4A"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8F265F" w14:paraId="48A0D886" w14:textId="77777777" w:rsidTr="008F265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14:paraId="5E6F89F1" w14:textId="77777777" w:rsidR="008F265F" w:rsidRDefault="00A542E4">
                  <w:pPr>
                    <w:rPr>
                      <w:rFonts w:ascii="宋体" w:hAnsi="宋体" w:cs="Arial"/>
                      <w:b w:val="0"/>
                      <w:bCs w:val="0"/>
                      <w:snapToGrid w:val="0"/>
                      <w:color w:val="000000"/>
                    </w:rPr>
                  </w:pPr>
                  <w:r>
                    <w:rPr>
                      <w:rFonts w:ascii="宋体" w:hAnsi="宋体" w:cs="Arial" w:hint="eastAsia"/>
                      <w:snapToGrid w:val="0"/>
                      <w:color w:val="000000"/>
                    </w:rPr>
                    <w:t>ⅣC期</w:t>
                  </w:r>
                </w:p>
              </w:tc>
              <w:tc>
                <w:tcPr>
                  <w:tcW w:w="1415" w:type="dxa"/>
                  <w:shd w:val="clear" w:color="auto" w:fill="FFFFFF"/>
                </w:tcPr>
                <w:p w14:paraId="780BC7DA"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14:paraId="76FEE636"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14:paraId="2BD294BD" w14:textId="77777777" w:rsidR="008F265F" w:rsidRDefault="00A542E4">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bl>
          <w:p w14:paraId="5D9F598E" w14:textId="77777777" w:rsidR="008F265F" w:rsidRDefault="008F265F">
            <w:pPr>
              <w:widowControl/>
              <w:jc w:val="right"/>
              <w:rPr>
                <w:rFonts w:ascii="宋体" w:hAnsi="宋体"/>
                <w:b/>
                <w:bCs/>
              </w:rPr>
            </w:pPr>
          </w:p>
        </w:tc>
      </w:tr>
      <w:tr w:rsidR="008F265F" w14:paraId="336EF11F" w14:textId="77777777">
        <w:tc>
          <w:tcPr>
            <w:tcW w:w="9062" w:type="dxa"/>
          </w:tcPr>
          <w:p w14:paraId="1751AD38" w14:textId="77777777" w:rsidR="008F265F" w:rsidRDefault="00A542E4">
            <w:pPr>
              <w:widowControl/>
              <w:spacing w:afterLines="50" w:after="156"/>
              <w:rPr>
                <w:rFonts w:ascii="宋体" w:hAnsi="宋体" w:cs="Arial"/>
                <w:snapToGrid w:val="0"/>
                <w:color w:val="000000"/>
              </w:rPr>
            </w:pPr>
            <w:r>
              <w:rPr>
                <w:rFonts w:ascii="宋体" w:hAnsi="宋体" w:cs="Arial"/>
                <w:snapToGrid w:val="0"/>
                <w:color w:val="000000"/>
              </w:rPr>
              <w:t>注</w:t>
            </w:r>
            <w:r>
              <w:rPr>
                <w:rFonts w:ascii="宋体" w:hAnsi="宋体" w:cs="Arial" w:hint="eastAsia"/>
                <w:snapToGrid w:val="0"/>
                <w:color w:val="000000"/>
              </w:rPr>
              <w:t>：</w:t>
            </w:r>
            <w:r>
              <w:rPr>
                <w:rFonts w:ascii="宋体" w:hAnsi="宋体" w:cs="Arial"/>
                <w:snapToGrid w:val="0"/>
                <w:color w:val="000000"/>
              </w:rPr>
              <w:t>以上表格中</w:t>
            </w:r>
            <w:r>
              <w:rPr>
                <w:rFonts w:ascii="宋体" w:hAnsi="宋体" w:cs="Arial" w:hint="eastAsia"/>
                <w:snapToGrid w:val="0"/>
                <w:color w:val="000000"/>
              </w:rPr>
              <w:t>“年龄”指患者病理组织标本获取日期时的年龄。</w:t>
            </w:r>
          </w:p>
        </w:tc>
      </w:tr>
    </w:tbl>
    <w:p w14:paraId="4224F972" w14:textId="77777777" w:rsidR="008F265F" w:rsidRDefault="008F265F">
      <w:pPr>
        <w:widowControl/>
        <w:rPr>
          <w:rFonts w:ascii="宋体" w:hAnsi="宋体"/>
          <w:b/>
          <w:bCs/>
        </w:rPr>
      </w:pPr>
    </w:p>
    <w:p w14:paraId="1F825352" w14:textId="77777777" w:rsidR="008F265F" w:rsidRDefault="008F265F">
      <w:pPr>
        <w:widowControl/>
        <w:jc w:val="right"/>
        <w:rPr>
          <w:rFonts w:ascii="宋体" w:hAnsi="宋体"/>
          <w:b/>
          <w:bCs/>
        </w:rPr>
      </w:pPr>
    </w:p>
    <w:p w14:paraId="65C34083" w14:textId="77777777" w:rsidR="008F265F" w:rsidRDefault="00A542E4">
      <w:pPr>
        <w:widowControl/>
        <w:jc w:val="right"/>
        <w:rPr>
          <w:rFonts w:ascii="宋体" w:hAnsi="宋体"/>
        </w:rPr>
      </w:pPr>
      <w:r>
        <w:rPr>
          <w:rFonts w:ascii="宋体" w:hAnsi="宋体" w:hint="eastAsia"/>
          <w:b/>
          <w:bCs/>
        </w:rPr>
        <w:t>&lt;本页内容结束&gt;</w:t>
      </w:r>
    </w:p>
    <w:sectPr w:rsidR="008F265F">
      <w:pgSz w:w="11907" w:h="16839"/>
      <w:pgMar w:top="1247" w:right="1134" w:bottom="1247" w:left="1701" w:header="737" w:footer="737" w:gutter="0"/>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29DE76" w16cex:dateUtc="2024-01-14T13:32:00Z"/>
  <w16cex:commentExtensible w16cex:durableId="627A59B2" w16cex:dateUtc="2024-01-14T13:32:00Z"/>
  <w16cex:commentExtensible w16cex:durableId="16B16E3E" w16cex:dateUtc="2024-01-14T13:55:00Z"/>
  <w16cex:commentExtensible w16cex:durableId="7DFDA0C6" w16cex:dateUtc="2024-01-14T14:37:00Z"/>
  <w16cex:commentExtensible w16cex:durableId="1E1E0205" w16cex:dateUtc="2024-01-14T14:39:00Z"/>
  <w16cex:commentExtensible w16cex:durableId="3E65DC68" w16cex:dateUtc="2024-01-14T14:43:00Z"/>
  <w16cex:commentExtensible w16cex:durableId="112AC8C6" w16cex:dateUtc="2024-01-14T14:55:00Z"/>
  <w16cex:commentExtensible w16cex:durableId="3C4CEFDE" w16cex:dateUtc="2024-01-14T14:55:00Z"/>
  <w16cex:commentExtensible w16cex:durableId="0E25A359" w16cex:dateUtc="2024-01-14T14:51:00Z"/>
  <w16cex:commentExtensible w16cex:durableId="7372754C" w16cex:dateUtc="2024-01-14T15:19:00Z"/>
  <w16cex:commentExtensible w16cex:durableId="34E6756C" w16cex:dateUtc="2024-01-14T15:23:00Z"/>
  <w16cex:commentExtensible w16cex:durableId="1D037976" w16cex:dateUtc="2024-01-14T15:29:00Z"/>
  <w16cex:commentExtensible w16cex:durableId="363439EB" w16cex:dateUtc="2024-01-14T15:38:00Z"/>
  <w16cex:commentExtensible w16cex:durableId="10CDADEE" w16cex:dateUtc="2024-01-14T14:05:00Z"/>
  <w16cex:commentExtensible w16cex:durableId="799C994D" w16cex:dateUtc="2024-01-14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C0FB1" w16cid:durableId="2229DE76"/>
  <w16cid:commentId w16cid:paraId="0CA60E46" w16cid:durableId="627A59B2"/>
  <w16cid:commentId w16cid:paraId="1B2D556B" w16cid:durableId="16B16E3E"/>
  <w16cid:commentId w16cid:paraId="456CCCC9" w16cid:durableId="7DFDA0C6"/>
  <w16cid:commentId w16cid:paraId="64489263" w16cid:durableId="1E1E0205"/>
  <w16cid:commentId w16cid:paraId="454907F2" w16cid:durableId="3E65DC68"/>
  <w16cid:commentId w16cid:paraId="5E5A80DB" w16cid:durableId="112AC8C6"/>
  <w16cid:commentId w16cid:paraId="24F5498F" w16cid:durableId="3C4CEFDE"/>
  <w16cid:commentId w16cid:paraId="6778B158" w16cid:durableId="0E25A359"/>
  <w16cid:commentId w16cid:paraId="0D896008" w16cid:durableId="7372754C"/>
  <w16cid:commentId w16cid:paraId="5109F0A3" w16cid:durableId="34E6756C"/>
  <w16cid:commentId w16cid:paraId="4F2307E0" w16cid:durableId="1D037976"/>
  <w16cid:commentId w16cid:paraId="7D689D09" w16cid:durableId="363439EB"/>
  <w16cid:commentId w16cid:paraId="4F2E0821" w16cid:durableId="247CCD3A"/>
  <w16cid:commentId w16cid:paraId="3BA7697A" w16cid:durableId="128580ED"/>
  <w16cid:commentId w16cid:paraId="3C8E3A58" w16cid:durableId="041DC087"/>
  <w16cid:commentId w16cid:paraId="4213163C" w16cid:durableId="10CDADEE"/>
  <w16cid:commentId w16cid:paraId="5D7EB4EB" w16cid:durableId="799C994D"/>
  <w16cid:commentId w16cid:paraId="5843DC20" w16cid:durableId="4FF27A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A5C65" w14:textId="77777777" w:rsidR="00B90481" w:rsidRDefault="00B90481">
      <w:r>
        <w:separator/>
      </w:r>
    </w:p>
  </w:endnote>
  <w:endnote w:type="continuationSeparator" w:id="0">
    <w:p w14:paraId="685A3D97" w14:textId="77777777" w:rsidR="00B90481" w:rsidRDefault="00B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3807C" w14:textId="77777777" w:rsidR="00B90481" w:rsidRDefault="00B90481">
    <w:pPr>
      <w:pStyle w:val="a9"/>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634F806" w14:textId="77777777" w:rsidR="00B90481" w:rsidRDefault="00B9048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7835" w14:textId="77777777" w:rsidR="00B90481" w:rsidRDefault="00B90481">
    <w:pPr>
      <w:pStyle w:val="a9"/>
      <w:jc w:val="center"/>
    </w:pPr>
    <w:r>
      <w:rPr>
        <w:rStyle w:val="af0"/>
        <w:rFonts w:hint="eastAsia"/>
        <w:szCs w:val="21"/>
        <w:lang w:eastAsia="zh-CN"/>
      </w:rPr>
      <w:t>第</w:t>
    </w:r>
    <w:r>
      <w:rPr>
        <w:rStyle w:val="af0"/>
        <w:rFonts w:hint="eastAsia"/>
        <w:szCs w:val="21"/>
        <w:lang w:eastAsia="zh-CN"/>
      </w:rPr>
      <w:t xml:space="preserve"> </w:t>
    </w:r>
    <w:r>
      <w:rPr>
        <w:rStyle w:val="af0"/>
        <w:rFonts w:ascii="宋体" w:hAnsi="宋体"/>
        <w:szCs w:val="21"/>
        <w:lang w:eastAsia="zh-CN"/>
      </w:rPr>
      <w:fldChar w:fldCharType="begin"/>
    </w:r>
    <w:r>
      <w:rPr>
        <w:rStyle w:val="af0"/>
        <w:rFonts w:ascii="宋体" w:hAnsi="宋体"/>
        <w:szCs w:val="21"/>
        <w:lang w:eastAsia="zh-CN"/>
      </w:rPr>
      <w:instrText xml:space="preserve"> PAGE </w:instrText>
    </w:r>
    <w:r>
      <w:rPr>
        <w:rStyle w:val="af0"/>
        <w:rFonts w:ascii="宋体" w:hAnsi="宋体"/>
        <w:szCs w:val="21"/>
        <w:lang w:eastAsia="zh-CN"/>
      </w:rPr>
      <w:fldChar w:fldCharType="separate"/>
    </w:r>
    <w:r w:rsidR="00992274">
      <w:rPr>
        <w:rStyle w:val="af0"/>
        <w:rFonts w:ascii="宋体" w:hAnsi="宋体"/>
        <w:noProof/>
        <w:szCs w:val="21"/>
        <w:lang w:eastAsia="zh-CN"/>
      </w:rPr>
      <w:t>66</w:t>
    </w:r>
    <w:r>
      <w:rPr>
        <w:rStyle w:val="af0"/>
        <w:rFonts w:ascii="宋体" w:hAnsi="宋体"/>
        <w:szCs w:val="21"/>
        <w:lang w:eastAsia="zh-CN"/>
      </w:rPr>
      <w:fldChar w:fldCharType="end"/>
    </w:r>
    <w:r>
      <w:rPr>
        <w:rStyle w:val="af0"/>
        <w:rFonts w:hint="eastAsia"/>
        <w:szCs w:val="21"/>
        <w:lang w:eastAsia="zh-CN"/>
      </w:rPr>
      <w:t xml:space="preserve"> </w:t>
    </w:r>
    <w:r>
      <w:rPr>
        <w:rStyle w:val="af0"/>
        <w:rFonts w:hint="eastAsia"/>
        <w:szCs w:val="21"/>
        <w:lang w:eastAsia="zh-CN"/>
      </w:rPr>
      <w:t>页</w:t>
    </w:r>
    <w:r>
      <w:rPr>
        <w:rStyle w:val="af0"/>
        <w:rFonts w:hint="eastAsia"/>
        <w:szCs w:val="21"/>
        <w:lang w:eastAsia="zh-CN"/>
      </w:rPr>
      <w:t xml:space="preserve"> </w:t>
    </w:r>
    <w:r>
      <w:rPr>
        <w:rStyle w:val="af0"/>
        <w:rFonts w:hint="eastAsia"/>
        <w:szCs w:val="21"/>
        <w:lang w:eastAsia="zh-CN"/>
      </w:rPr>
      <w:t>共</w:t>
    </w:r>
    <w:r>
      <w:rPr>
        <w:rStyle w:val="af0"/>
        <w:rFonts w:hint="eastAsia"/>
        <w:szCs w:val="21"/>
        <w:lang w:eastAsia="zh-CN"/>
      </w:rPr>
      <w:t xml:space="preserve"> </w:t>
    </w:r>
    <w:r>
      <w:rPr>
        <w:rStyle w:val="af0"/>
        <w:rFonts w:ascii="宋体" w:hAnsi="宋体"/>
        <w:szCs w:val="21"/>
        <w:lang w:eastAsia="zh-CN"/>
      </w:rPr>
      <w:fldChar w:fldCharType="begin"/>
    </w:r>
    <w:r>
      <w:rPr>
        <w:rStyle w:val="af0"/>
        <w:rFonts w:ascii="宋体" w:hAnsi="宋体"/>
        <w:szCs w:val="21"/>
        <w:lang w:eastAsia="zh-CN"/>
      </w:rPr>
      <w:instrText xml:space="preserve"> NUMPAGES </w:instrText>
    </w:r>
    <w:r>
      <w:rPr>
        <w:rStyle w:val="af0"/>
        <w:rFonts w:ascii="宋体" w:hAnsi="宋体"/>
        <w:szCs w:val="21"/>
        <w:lang w:eastAsia="zh-CN"/>
      </w:rPr>
      <w:fldChar w:fldCharType="separate"/>
    </w:r>
    <w:r w:rsidR="00992274">
      <w:rPr>
        <w:rStyle w:val="af0"/>
        <w:rFonts w:ascii="宋体" w:hAnsi="宋体"/>
        <w:noProof/>
        <w:szCs w:val="21"/>
        <w:lang w:eastAsia="zh-CN"/>
      </w:rPr>
      <w:t>68</w:t>
    </w:r>
    <w:r>
      <w:rPr>
        <w:rStyle w:val="af0"/>
        <w:rFonts w:ascii="宋体" w:hAnsi="宋体"/>
        <w:szCs w:val="21"/>
        <w:lang w:eastAsia="zh-CN"/>
      </w:rPr>
      <w:fldChar w:fldCharType="end"/>
    </w:r>
    <w:r>
      <w:rPr>
        <w:rStyle w:val="af0"/>
        <w:rFonts w:hint="eastAsia"/>
        <w:szCs w:val="21"/>
        <w:lang w:eastAsia="zh-CN"/>
      </w:rPr>
      <w:t xml:space="preserve"> </w:t>
    </w:r>
    <w:r>
      <w:rPr>
        <w:rStyle w:val="af0"/>
        <w:rFonts w:hint="eastAsia"/>
        <w:szCs w:val="21"/>
        <w:lang w:eastAsia="zh-C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E5254" w14:textId="77777777" w:rsidR="00B90481" w:rsidRDefault="00B90481">
    <w:pPr>
      <w:pStyle w:val="a9"/>
      <w:jc w:val="center"/>
      <w:rPr>
        <w:rFonts w:asciiTheme="minorEastAsia" w:eastAsiaTheme="minorEastAsia" w:hAnsiTheme="minorEastAsia"/>
        <w:lang w:eastAsia="zh-CN"/>
      </w:rPr>
    </w:pPr>
    <w:r>
      <w:rPr>
        <w:rFonts w:asciiTheme="minorEastAsia" w:eastAsiaTheme="minorEastAsia" w:hAnsiTheme="minorEastAsia" w:hint="eastAsia"/>
        <w:szCs w:val="21"/>
        <w:lang w:eastAsia="zh-CN"/>
      </w:rPr>
      <w:t xml:space="preserve">第 </w:t>
    </w:r>
    <w:r>
      <w:rPr>
        <w:rFonts w:asciiTheme="minorEastAsia" w:eastAsiaTheme="minorEastAsia" w:hAnsiTheme="minorEastAsia"/>
        <w:szCs w:val="21"/>
        <w:lang w:eastAsia="zh-CN"/>
      </w:rPr>
      <w:fldChar w:fldCharType="begin"/>
    </w:r>
    <w:r>
      <w:rPr>
        <w:rFonts w:asciiTheme="minorEastAsia" w:eastAsiaTheme="minorEastAsia" w:hAnsiTheme="minorEastAsia"/>
        <w:szCs w:val="21"/>
        <w:lang w:eastAsia="zh-CN"/>
      </w:rPr>
      <w:instrText xml:space="preserve"> PAGE </w:instrText>
    </w:r>
    <w:r>
      <w:rPr>
        <w:rFonts w:asciiTheme="minorEastAsia" w:eastAsiaTheme="minorEastAsia" w:hAnsiTheme="minorEastAsia"/>
        <w:szCs w:val="21"/>
        <w:lang w:eastAsia="zh-CN"/>
      </w:rPr>
      <w:fldChar w:fldCharType="separate"/>
    </w:r>
    <w:r w:rsidR="00992274">
      <w:rPr>
        <w:rFonts w:asciiTheme="minorEastAsia" w:eastAsiaTheme="minorEastAsia" w:hAnsiTheme="minorEastAsia"/>
        <w:noProof/>
        <w:szCs w:val="21"/>
        <w:lang w:eastAsia="zh-CN"/>
      </w:rPr>
      <w:t>64</w:t>
    </w:r>
    <w:r>
      <w:rPr>
        <w:rFonts w:asciiTheme="minorEastAsia" w:eastAsiaTheme="minorEastAsia" w:hAnsiTheme="minorEastAsia"/>
        <w:szCs w:val="21"/>
        <w:lang w:eastAsia="zh-CN"/>
      </w:rPr>
      <w:fldChar w:fldCharType="end"/>
    </w:r>
    <w:r>
      <w:rPr>
        <w:rFonts w:asciiTheme="minorEastAsia" w:eastAsiaTheme="minorEastAsia" w:hAnsiTheme="minorEastAsia" w:hint="eastAsia"/>
        <w:szCs w:val="21"/>
        <w:lang w:eastAsia="zh-CN"/>
      </w:rPr>
      <w:t xml:space="preserve"> 页 共 </w:t>
    </w:r>
    <w:r>
      <w:rPr>
        <w:rFonts w:asciiTheme="minorEastAsia" w:eastAsiaTheme="minorEastAsia" w:hAnsiTheme="minorEastAsia"/>
        <w:szCs w:val="21"/>
        <w:lang w:eastAsia="zh-CN"/>
      </w:rPr>
      <w:fldChar w:fldCharType="begin"/>
    </w:r>
    <w:r>
      <w:rPr>
        <w:rFonts w:asciiTheme="minorEastAsia" w:eastAsiaTheme="minorEastAsia" w:hAnsiTheme="minorEastAsia"/>
        <w:szCs w:val="21"/>
        <w:lang w:eastAsia="zh-CN"/>
      </w:rPr>
      <w:instrText xml:space="preserve"> NUMPAGES </w:instrText>
    </w:r>
    <w:r>
      <w:rPr>
        <w:rFonts w:asciiTheme="minorEastAsia" w:eastAsiaTheme="minorEastAsia" w:hAnsiTheme="minorEastAsia"/>
        <w:szCs w:val="21"/>
        <w:lang w:eastAsia="zh-CN"/>
      </w:rPr>
      <w:fldChar w:fldCharType="separate"/>
    </w:r>
    <w:r w:rsidR="00992274">
      <w:rPr>
        <w:rFonts w:asciiTheme="minorEastAsia" w:eastAsiaTheme="minorEastAsia" w:hAnsiTheme="minorEastAsia"/>
        <w:noProof/>
        <w:szCs w:val="21"/>
        <w:lang w:eastAsia="zh-CN"/>
      </w:rPr>
      <w:t>68</w:t>
    </w:r>
    <w:r>
      <w:rPr>
        <w:rFonts w:asciiTheme="minorEastAsia" w:eastAsiaTheme="minorEastAsia" w:hAnsiTheme="minorEastAsia"/>
        <w:szCs w:val="21"/>
        <w:lang w:eastAsia="zh-CN"/>
      </w:rPr>
      <w:fldChar w:fldCharType="end"/>
    </w:r>
    <w:r>
      <w:rPr>
        <w:rFonts w:asciiTheme="minorEastAsia" w:eastAsiaTheme="minorEastAsia" w:hAnsiTheme="minorEastAsia" w:hint="eastAsia"/>
        <w:szCs w:val="21"/>
        <w:lang w:eastAsia="zh-CN"/>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2B964" w14:textId="77777777" w:rsidR="00B90481" w:rsidRDefault="00B90481">
      <w:r>
        <w:separator/>
      </w:r>
    </w:p>
  </w:footnote>
  <w:footnote w:type="continuationSeparator" w:id="0">
    <w:p w14:paraId="53E1604C" w14:textId="77777777" w:rsidR="00B90481" w:rsidRDefault="00B90481">
      <w:r>
        <w:continuationSeparator/>
      </w:r>
    </w:p>
  </w:footnote>
  <w:footnote w:id="1">
    <w:p w14:paraId="36C02D5F" w14:textId="77777777" w:rsidR="00B90481" w:rsidRDefault="00B90481">
      <w:pPr>
        <w:pStyle w:val="ab"/>
        <w:ind w:left="202" w:hangingChars="112" w:hanging="202"/>
        <w:rPr>
          <w:rFonts w:asciiTheme="minorEastAsia" w:eastAsiaTheme="minorEastAsia" w:hAnsiTheme="minorEastAsia"/>
        </w:rPr>
      </w:pPr>
      <w:r>
        <w:rPr>
          <w:rStyle w:val="af3"/>
          <w:rFonts w:ascii="宋体" w:hAnsi="宋体"/>
          <w:b/>
        </w:rPr>
        <w:footnoteRef/>
      </w:r>
      <w:r>
        <w:rPr>
          <w:rFonts w:asciiTheme="minorEastAsia" w:eastAsiaTheme="minorEastAsia" w:hAnsiTheme="minorEastAsia" w:hint="eastAsia"/>
          <w:b/>
        </w:rPr>
        <w:t xml:space="preserve"> 意外</w:t>
      </w:r>
      <w:r>
        <w:rPr>
          <w:rFonts w:asciiTheme="minorEastAsia" w:eastAsiaTheme="minorEastAsia" w:hAnsiTheme="minorEastAsia"/>
          <w:b/>
        </w:rPr>
        <w:t>伤害</w:t>
      </w:r>
      <w:r>
        <w:rPr>
          <w:rFonts w:asciiTheme="minorEastAsia" w:eastAsiaTheme="minorEastAsia" w:hAnsiTheme="minorEastAsia"/>
        </w:rPr>
        <w:t>：</w:t>
      </w:r>
      <w:r>
        <w:rPr>
          <w:rFonts w:asciiTheme="minorEastAsia" w:eastAsiaTheme="minorEastAsia" w:hAnsiTheme="minorEastAsia" w:hint="eastAsia"/>
        </w:rPr>
        <w:t>指遭受外来的、突发的、非本意的、非疾病的使身体受到伤害的客观事件，</w:t>
      </w:r>
      <w:r>
        <w:rPr>
          <w:rFonts w:asciiTheme="minorEastAsia" w:eastAsiaTheme="minorEastAsia" w:hAnsiTheme="minorEastAsia"/>
          <w:b/>
        </w:rPr>
        <w:t>猝死不属于意外伤害</w:t>
      </w:r>
      <w:r>
        <w:rPr>
          <w:rFonts w:asciiTheme="minorEastAsia" w:eastAsiaTheme="minorEastAsia" w:hAnsiTheme="minorEastAsia"/>
        </w:rPr>
        <w:t>。猝死</w:t>
      </w:r>
      <w:r>
        <w:rPr>
          <w:rFonts w:asciiTheme="minorEastAsia" w:eastAsiaTheme="minorEastAsia" w:hAnsiTheme="minorEastAsia" w:hint="eastAsia"/>
        </w:rPr>
        <w:t>指</w:t>
      </w:r>
      <w:r>
        <w:rPr>
          <w:rFonts w:asciiTheme="minorEastAsia" w:eastAsiaTheme="minorEastAsia" w:hAnsiTheme="minorEastAsia"/>
        </w:rPr>
        <w:t>表面健康的人因潜在</w:t>
      </w:r>
      <w:r>
        <w:rPr>
          <w:rFonts w:asciiTheme="minorEastAsia" w:eastAsiaTheme="minorEastAsia" w:hAnsiTheme="minorEastAsia" w:hint="eastAsia"/>
        </w:rPr>
        <w:t>疾病、</w:t>
      </w:r>
      <w:r>
        <w:rPr>
          <w:rFonts w:asciiTheme="minorEastAsia" w:eastAsiaTheme="minorEastAsia" w:hAnsiTheme="minorEastAsia"/>
        </w:rPr>
        <w:t>机能障碍或者其他原因在出现症状后</w:t>
      </w:r>
      <w:r>
        <w:rPr>
          <w:rFonts w:ascii="宋体" w:hAnsi="宋体" w:hint="eastAsia"/>
        </w:rPr>
        <w:t>24</w:t>
      </w:r>
      <w:r>
        <w:rPr>
          <w:rFonts w:asciiTheme="minorEastAsia" w:eastAsiaTheme="minorEastAsia" w:hAnsiTheme="minorEastAsia" w:hint="eastAsia"/>
        </w:rPr>
        <w:t>小时</w:t>
      </w:r>
      <w:r>
        <w:rPr>
          <w:rFonts w:asciiTheme="minorEastAsia" w:eastAsiaTheme="minorEastAsia" w:hAnsiTheme="minorEastAsia"/>
        </w:rPr>
        <w:t>内发生的非暴力性突然死亡。猝死的认定以医院的诊断</w:t>
      </w:r>
      <w:r>
        <w:rPr>
          <w:rFonts w:asciiTheme="minorEastAsia" w:eastAsiaTheme="minorEastAsia" w:hAnsiTheme="minorEastAsia" w:hint="eastAsia"/>
        </w:rPr>
        <w:t>或</w:t>
      </w:r>
      <w:r>
        <w:rPr>
          <w:rFonts w:asciiTheme="minorEastAsia" w:eastAsiaTheme="minorEastAsia" w:hAnsiTheme="minorEastAsia"/>
        </w:rPr>
        <w:t>公安部门的鉴定为准。</w:t>
      </w:r>
    </w:p>
  </w:footnote>
  <w:footnote w:id="2">
    <w:p w14:paraId="05997054" w14:textId="77777777" w:rsidR="00B90481" w:rsidRDefault="00B90481">
      <w:pPr>
        <w:pStyle w:val="ab"/>
        <w:ind w:left="181" w:hangingChars="100" w:hanging="181"/>
      </w:pPr>
      <w:r>
        <w:rPr>
          <w:rStyle w:val="af3"/>
          <w:rFonts w:ascii="宋体" w:hAnsi="宋体"/>
          <w:b/>
        </w:rPr>
        <w:footnoteRef/>
      </w:r>
      <w:r>
        <w:rPr>
          <w:rFonts w:hint="eastAsia"/>
          <w:b/>
        </w:rPr>
        <w:t xml:space="preserve"> </w:t>
      </w:r>
      <w:r>
        <w:rPr>
          <w:rFonts w:hint="eastAsia"/>
          <w:b/>
        </w:rPr>
        <w:t>全残</w:t>
      </w:r>
      <w:r>
        <w:t>：指下列情形之一：</w:t>
      </w:r>
    </w:p>
    <w:p w14:paraId="6A76FFAF" w14:textId="77777777" w:rsidR="00B90481" w:rsidRDefault="00B90481">
      <w:pPr>
        <w:pStyle w:val="ab"/>
        <w:ind w:firstLineChars="78" w:firstLine="140"/>
        <w:rPr>
          <w:rFonts w:ascii="宋体" w:hAnsi="宋体"/>
        </w:rPr>
      </w:pPr>
      <w:r>
        <w:rPr>
          <w:rFonts w:ascii="宋体" w:hAnsi="宋体" w:hint="eastAsia"/>
        </w:rPr>
        <w:t>（1）双目永久完全失明的；</w:t>
      </w:r>
    </w:p>
    <w:p w14:paraId="723BCD1D" w14:textId="77777777" w:rsidR="00B90481" w:rsidRDefault="00B90481">
      <w:pPr>
        <w:pStyle w:val="ab"/>
        <w:ind w:firstLineChars="78" w:firstLine="140"/>
        <w:rPr>
          <w:rFonts w:ascii="宋体" w:hAnsi="宋体"/>
        </w:rPr>
      </w:pPr>
      <w:r>
        <w:rPr>
          <w:rFonts w:ascii="宋体" w:hAnsi="宋体" w:hint="eastAsia"/>
        </w:rPr>
        <w:t>（2）两上肢腕关节以上或两下肢踝关节以上缺失的；</w:t>
      </w:r>
    </w:p>
    <w:p w14:paraId="7B38CAFE" w14:textId="77777777" w:rsidR="00B90481" w:rsidRDefault="00B90481">
      <w:pPr>
        <w:pStyle w:val="ab"/>
        <w:ind w:firstLineChars="78" w:firstLine="140"/>
        <w:rPr>
          <w:rFonts w:ascii="宋体" w:hAnsi="宋体"/>
        </w:rPr>
      </w:pPr>
      <w:r>
        <w:rPr>
          <w:rFonts w:ascii="宋体" w:hAnsi="宋体" w:hint="eastAsia"/>
        </w:rPr>
        <w:t>（3）一上肢腕关节以上及一下肢踝关节以上缺失的；</w:t>
      </w:r>
    </w:p>
    <w:p w14:paraId="4CD05D0C" w14:textId="77777777" w:rsidR="00B90481" w:rsidRDefault="00B90481">
      <w:pPr>
        <w:pStyle w:val="ab"/>
        <w:ind w:firstLineChars="78" w:firstLine="140"/>
        <w:rPr>
          <w:rFonts w:ascii="宋体" w:hAnsi="宋体"/>
        </w:rPr>
      </w:pPr>
      <w:r>
        <w:rPr>
          <w:rFonts w:ascii="宋体" w:hAnsi="宋体" w:hint="eastAsia"/>
        </w:rPr>
        <w:t>（4）一目永久完全失明及一上肢腕关节以上缺失的；</w:t>
      </w:r>
    </w:p>
    <w:p w14:paraId="708E690D" w14:textId="77777777" w:rsidR="00B90481" w:rsidRDefault="00B90481">
      <w:pPr>
        <w:pStyle w:val="ab"/>
        <w:ind w:firstLineChars="78" w:firstLine="140"/>
        <w:rPr>
          <w:rFonts w:ascii="宋体" w:hAnsi="宋体"/>
        </w:rPr>
      </w:pPr>
      <w:r>
        <w:rPr>
          <w:rFonts w:ascii="宋体" w:hAnsi="宋体" w:hint="eastAsia"/>
        </w:rPr>
        <w:t>（5）一目永久完全失明及一下肢踝关节以上缺失的；</w:t>
      </w:r>
    </w:p>
    <w:p w14:paraId="226113CE" w14:textId="77777777" w:rsidR="00B90481" w:rsidRDefault="00B90481">
      <w:pPr>
        <w:pStyle w:val="ab"/>
        <w:ind w:firstLineChars="78" w:firstLine="140"/>
        <w:rPr>
          <w:rFonts w:ascii="宋体" w:hAnsi="宋体"/>
        </w:rPr>
      </w:pPr>
      <w:r>
        <w:rPr>
          <w:rFonts w:ascii="宋体" w:hAnsi="宋体" w:hint="eastAsia"/>
        </w:rPr>
        <w:t>（6）四肢关节机能永久完全丧失的；</w:t>
      </w:r>
    </w:p>
    <w:p w14:paraId="014197E3" w14:textId="77777777" w:rsidR="00B90481" w:rsidRDefault="00B90481">
      <w:pPr>
        <w:pStyle w:val="ab"/>
        <w:ind w:leftChars="66" w:left="141" w:hangingChars="1" w:hanging="2"/>
        <w:rPr>
          <w:rFonts w:ascii="宋体" w:hAnsi="宋体"/>
        </w:rPr>
      </w:pPr>
      <w:r>
        <w:rPr>
          <w:rFonts w:ascii="宋体" w:hAnsi="宋体" w:hint="eastAsia"/>
        </w:rPr>
        <w:t>（7）咀嚼、吞咽机能永久完全丧失的；</w:t>
      </w:r>
    </w:p>
    <w:p w14:paraId="4C6C8EF8" w14:textId="77777777" w:rsidR="00B90481" w:rsidRDefault="00B90481">
      <w:pPr>
        <w:pStyle w:val="ab"/>
        <w:ind w:leftChars="67" w:left="143" w:hangingChars="1" w:hanging="2"/>
      </w:pPr>
      <w:r>
        <w:rPr>
          <w:rFonts w:ascii="宋体" w:hAnsi="宋体" w:hint="eastAsia"/>
        </w:rPr>
        <w:t>（8）中枢神经系统机能或胸、腹部脏器机能极度障碍，终身不能从事任何工作，完全丧失基本日常生活活动能力。</w:t>
      </w:r>
    </w:p>
    <w:p w14:paraId="7BB5A013" w14:textId="77777777" w:rsidR="00B90481" w:rsidRDefault="00B90481">
      <w:pPr>
        <w:pStyle w:val="ab"/>
        <w:ind w:firstLineChars="78" w:firstLine="140"/>
      </w:pPr>
      <w:r>
        <w:rPr>
          <w:rFonts w:hint="eastAsia"/>
          <w:shd w:val="pct10" w:color="auto" w:fill="FFFFFF"/>
        </w:rPr>
        <w:t>若被保险人同时符合一项以上全残情形时，全残保险金给付以一项为限。</w:t>
      </w:r>
    </w:p>
    <w:p w14:paraId="01CAF85C" w14:textId="77777777" w:rsidR="00B90481" w:rsidRDefault="00B90481">
      <w:pPr>
        <w:pStyle w:val="ab"/>
        <w:ind w:leftChars="78" w:left="164"/>
        <w:rPr>
          <w:rFonts w:ascii="宋体" w:hAnsi="宋体"/>
        </w:rPr>
      </w:pPr>
      <w:r>
        <w:rPr>
          <w:rFonts w:ascii="宋体" w:hAnsi="宋体" w:hint="eastAsia"/>
        </w:rPr>
        <w:t>永久完全：指上述残疾发生之日起经过1</w:t>
      </w:r>
      <w:r>
        <w:rPr>
          <w:rFonts w:ascii="宋体" w:hAnsi="宋体"/>
        </w:rPr>
        <w:t>80</w:t>
      </w:r>
      <w:r>
        <w:rPr>
          <w:rFonts w:ascii="宋体" w:hAnsi="宋体" w:hint="eastAsia"/>
        </w:rPr>
        <w:t>日的所有可能恢复机能的治疗，机能仍然完全丧失。但眼球摘除等明显无法恢复之情况，不在此限。</w:t>
      </w:r>
    </w:p>
    <w:p w14:paraId="62A693D9" w14:textId="77777777" w:rsidR="00B90481" w:rsidRDefault="00B90481">
      <w:pPr>
        <w:pStyle w:val="ab"/>
        <w:ind w:leftChars="78" w:left="164"/>
        <w:rPr>
          <w:rFonts w:ascii="宋体" w:hAnsi="宋体"/>
        </w:rPr>
      </w:pPr>
      <w:r>
        <w:rPr>
          <w:rFonts w:ascii="宋体" w:hAnsi="宋体" w:hint="eastAsia"/>
        </w:rPr>
        <w:t>失明：指包括眼球缺失或摘除、或不能辨别明暗、或仅能辨别眼前手动者，最佳矫正视力低于国际标准视力表0.02，或视野半径小于5度，并由我们指定的有资格的眼科医生出具医疗诊断证明。</w:t>
      </w:r>
    </w:p>
    <w:p w14:paraId="2B82CF0A" w14:textId="77777777" w:rsidR="00B90481" w:rsidRDefault="00B90481">
      <w:pPr>
        <w:pStyle w:val="ab"/>
        <w:ind w:firstLineChars="78" w:firstLine="140"/>
        <w:rPr>
          <w:rFonts w:ascii="宋体" w:hAnsi="宋体"/>
        </w:rPr>
      </w:pPr>
      <w:r>
        <w:rPr>
          <w:rFonts w:ascii="宋体" w:hAnsi="宋体" w:hint="eastAsia"/>
        </w:rPr>
        <w:t>关节机能丧失：指关节永久完全僵硬、或麻痹、或关节不能随意识活动。</w:t>
      </w:r>
    </w:p>
    <w:p w14:paraId="544D8FFE" w14:textId="77777777" w:rsidR="00B90481" w:rsidRDefault="00B90481">
      <w:pPr>
        <w:pStyle w:val="ab"/>
        <w:ind w:leftChars="78" w:left="164"/>
        <w:rPr>
          <w:rFonts w:ascii="宋体" w:hAnsi="宋体"/>
        </w:rPr>
      </w:pPr>
      <w:r>
        <w:rPr>
          <w:rFonts w:ascii="宋体" w:hAnsi="宋体" w:hint="eastAsia"/>
        </w:rPr>
        <w:t>咀嚼、吞咽机能丧失：指由于牙齿以外的原因引起器质障碍或机能障碍，以致不能作咀嚼、吞咽运动，除流质食物外不能摄取或吞咽的状态。</w:t>
      </w:r>
    </w:p>
    <w:p w14:paraId="3E99E98D" w14:textId="77777777" w:rsidR="00B90481" w:rsidRDefault="00B90481">
      <w:pPr>
        <w:pStyle w:val="ab"/>
        <w:ind w:leftChars="78" w:left="164"/>
        <w:rPr>
          <w:rFonts w:ascii="宋体" w:hAnsi="宋体"/>
        </w:rPr>
      </w:pPr>
      <w:r>
        <w:rPr>
          <w:rFonts w:ascii="宋体" w:hAnsi="宋体" w:hint="eastAsia"/>
        </w:rPr>
        <w:t>完全丧失基本日常生活活动能力：指以下六项基本日常生活活动皆不能独立进行，需要他人帮助：1）穿衣：自己能够穿衣及脱衣；2）移动：自己从一个房间到另一个房间；3）行动：自己上下床或上下轮椅；4）如厕：自己控制进行大小便；5）进食：自己从已准备好的碗或碟中取食物放入口中；6）洗澡：自己进行淋浴或盆浴。</w:t>
      </w:r>
    </w:p>
  </w:footnote>
  <w:footnote w:id="3">
    <w:p w14:paraId="31A19DBD" w14:textId="77777777" w:rsidR="00B90481" w:rsidRDefault="00B90481">
      <w:pPr>
        <w:pStyle w:val="ab"/>
        <w:ind w:left="202" w:hangingChars="112" w:hanging="202"/>
      </w:pPr>
      <w:r>
        <w:rPr>
          <w:rStyle w:val="af3"/>
          <w:rFonts w:ascii="宋体" w:hAnsi="宋体"/>
          <w:b/>
        </w:rPr>
        <w:footnoteRef/>
      </w:r>
      <w:r>
        <w:rPr>
          <w:rFonts w:hint="eastAsia"/>
          <w:b/>
        </w:rPr>
        <w:t xml:space="preserve"> </w:t>
      </w:r>
      <w:r>
        <w:rPr>
          <w:rFonts w:hint="eastAsia"/>
          <w:b/>
        </w:rPr>
        <w:t>实际已交纳的保险费</w:t>
      </w:r>
      <w:r>
        <w:rPr>
          <w:rFonts w:hint="eastAsia"/>
        </w:rPr>
        <w:t>：指本主险合同保险事故发生时的基本保险金额所对应的每期保险费金额乘以已交费期数。</w:t>
      </w:r>
    </w:p>
  </w:footnote>
  <w:footnote w:id="4">
    <w:p w14:paraId="202D3B7F" w14:textId="77777777" w:rsidR="00B90481" w:rsidRDefault="00B90481">
      <w:pPr>
        <w:pStyle w:val="ab"/>
        <w:ind w:left="181" w:hangingChars="100" w:hanging="181"/>
      </w:pPr>
      <w:r>
        <w:rPr>
          <w:rStyle w:val="af3"/>
          <w:rFonts w:ascii="宋体" w:hAnsi="宋体"/>
          <w:b/>
        </w:rPr>
        <w:footnoteRef/>
      </w:r>
      <w:r>
        <w:rPr>
          <w:rFonts w:ascii="宋体" w:hAnsi="宋体" w:hint="eastAsia"/>
          <w:b/>
        </w:rPr>
        <w:t xml:space="preserve"> 重症监护病房</w:t>
      </w:r>
      <w:r>
        <w:rPr>
          <w:rFonts w:hint="eastAsia"/>
        </w:rPr>
        <w:t>：</w:t>
      </w:r>
      <w:r>
        <w:rPr>
          <w:rFonts w:ascii="宋体" w:hAnsi="宋体" w:hint="eastAsia"/>
        </w:rPr>
        <w:t>指经卫生行政部门批准，在医院内正式设立的重症监护病房。该病房为危重患者提供二十四小时持续护理及治疗，配备有重症监护专科医生、护士以及相应的监护、复苏抢救设备，例如：心脏除颤机，人工呼吸机，紧急药物，各项生命体征（如心率、血压等）持续测试的仪器等。</w:t>
      </w:r>
    </w:p>
  </w:footnote>
  <w:footnote w:id="5">
    <w:p w14:paraId="025036D4" w14:textId="77777777" w:rsidR="00B90481" w:rsidRDefault="00B90481">
      <w:pPr>
        <w:pStyle w:val="ab"/>
        <w:ind w:left="202" w:hangingChars="112" w:hanging="202"/>
      </w:pPr>
      <w:r>
        <w:rPr>
          <w:rStyle w:val="af3"/>
          <w:rFonts w:ascii="宋体" w:hAnsi="宋体"/>
          <w:b/>
        </w:rPr>
        <w:footnoteRef/>
      </w:r>
      <w:r>
        <w:rPr>
          <w:rFonts w:hint="eastAsia"/>
          <w:b/>
        </w:rPr>
        <w:t xml:space="preserve"> </w:t>
      </w:r>
      <w:r>
        <w:rPr>
          <w:rFonts w:hint="eastAsia"/>
          <w:b/>
        </w:rPr>
        <w:t>我们</w:t>
      </w:r>
      <w:r>
        <w:rPr>
          <w:b/>
        </w:rPr>
        <w:t>认可的医院</w:t>
      </w:r>
      <w:r>
        <w:t>：</w:t>
      </w:r>
      <w:r>
        <w:rPr>
          <w:rFonts w:hint="eastAsia"/>
          <w:color w:val="000000"/>
          <w:szCs w:val="21"/>
        </w:rPr>
        <w:t>指卫生行政部门认定的二级或二级以上非营利性医院，</w:t>
      </w:r>
      <w:r>
        <w:rPr>
          <w:rFonts w:ascii="宋体" w:hAnsi="宋体" w:hint="eastAsia"/>
          <w:shd w:val="pct10" w:color="auto" w:fill="FFFFFF"/>
        </w:rPr>
        <w:t>但不包括民营医院、康复医院或康复病房、精神病医院、疗养院、美容医院、护理院、戒酒或戒毒中心、精神心理治疗中心、二级或三级医院的联合医院或联合病房等</w:t>
      </w:r>
      <w:r>
        <w:rPr>
          <w:rFonts w:ascii="宋体" w:hAnsi="宋体" w:hint="eastAsia"/>
        </w:rPr>
        <w:t>（联合医院或联合病房本身是符合卫生部颁发的医疗机构基本标准的二级或二级以上医院的不受此限）</w:t>
      </w:r>
      <w:r>
        <w:rPr>
          <w:rFonts w:hint="eastAsia"/>
          <w:color w:val="000000"/>
          <w:szCs w:val="21"/>
        </w:rPr>
        <w:t>。该医院必须具有符合国家有关医院管理规则设置标准的医疗设备，且全天二十四小时有合格医师及护士驻院提供医疗及护理服务。</w:t>
      </w:r>
    </w:p>
  </w:footnote>
  <w:footnote w:id="6">
    <w:p w14:paraId="5A5425A0" w14:textId="77777777" w:rsidR="00B90481" w:rsidRDefault="00B90481">
      <w:pPr>
        <w:pStyle w:val="ab"/>
        <w:ind w:left="202" w:hangingChars="112" w:hanging="202"/>
        <w:jc w:val="both"/>
        <w:rPr>
          <w:rFonts w:asciiTheme="minorEastAsia" w:eastAsiaTheme="minorEastAsia" w:hAnsiTheme="minorEastAsia"/>
        </w:rPr>
      </w:pPr>
      <w:r>
        <w:rPr>
          <w:rStyle w:val="af3"/>
          <w:rFonts w:ascii="宋体" w:hAnsi="宋体"/>
          <w:b/>
        </w:rPr>
        <w:footnoteRef/>
      </w:r>
      <w:r>
        <w:rPr>
          <w:rFonts w:asciiTheme="minorEastAsia" w:eastAsiaTheme="minorEastAsia" w:hAnsiTheme="minorEastAsia" w:hint="eastAsia"/>
          <w:b/>
        </w:rPr>
        <w:t xml:space="preserve"> 专科</w:t>
      </w:r>
      <w:r>
        <w:rPr>
          <w:rFonts w:asciiTheme="minorEastAsia" w:eastAsiaTheme="minorEastAsia" w:hAnsiTheme="minorEastAsia"/>
          <w:b/>
        </w:rPr>
        <w:t>医生</w:t>
      </w:r>
      <w:r>
        <w:rPr>
          <w:rFonts w:asciiTheme="minorEastAsia" w:eastAsiaTheme="minorEastAsia" w:hAnsiTheme="minorEastAsia"/>
        </w:rPr>
        <w:t>：专科医生应当同时满足以下四项资格条件：</w:t>
      </w:r>
    </w:p>
    <w:p w14:paraId="69345752" w14:textId="77777777" w:rsidR="00B90481" w:rsidRDefault="00B90481">
      <w:pPr>
        <w:pStyle w:val="ab"/>
        <w:ind w:firstLineChars="112" w:firstLine="202"/>
        <w:jc w:val="both"/>
        <w:rPr>
          <w:rFonts w:asciiTheme="minorEastAsia" w:eastAsiaTheme="minorEastAsia" w:hAnsiTheme="minorEastAsia"/>
        </w:rPr>
      </w:pPr>
      <w:r>
        <w:rPr>
          <w:rFonts w:ascii="宋体" w:hAnsi="宋体"/>
        </w:rPr>
        <w:t>（1）</w:t>
      </w:r>
      <w:r>
        <w:rPr>
          <w:rFonts w:asciiTheme="minorEastAsia" w:eastAsiaTheme="minorEastAsia" w:hAnsiTheme="minorEastAsia"/>
        </w:rPr>
        <w:t>具有有效的中华人民共和国《医师资格证书》；</w:t>
      </w:r>
    </w:p>
    <w:p w14:paraId="1806E0B9" w14:textId="77777777" w:rsidR="00B90481" w:rsidRDefault="00B90481">
      <w:pPr>
        <w:pStyle w:val="ab"/>
        <w:ind w:firstLineChars="112" w:firstLine="202"/>
        <w:jc w:val="both"/>
        <w:rPr>
          <w:rFonts w:asciiTheme="minorEastAsia" w:eastAsiaTheme="minorEastAsia" w:hAnsiTheme="minorEastAsia"/>
        </w:rPr>
      </w:pPr>
      <w:r>
        <w:rPr>
          <w:rFonts w:ascii="宋体" w:hAnsi="宋体"/>
        </w:rPr>
        <w:t>（2）</w:t>
      </w:r>
      <w:r>
        <w:rPr>
          <w:rFonts w:asciiTheme="minorEastAsia" w:eastAsiaTheme="minorEastAsia" w:hAnsiTheme="minorEastAsia"/>
        </w:rPr>
        <w:t>具有有效的中华人民共和国《医师执业证书》，并按期到相关部门登记注册；</w:t>
      </w:r>
    </w:p>
    <w:p w14:paraId="5AE7DD51" w14:textId="77777777" w:rsidR="00B90481" w:rsidRDefault="00B90481">
      <w:pPr>
        <w:pStyle w:val="ab"/>
        <w:ind w:firstLineChars="112" w:firstLine="202"/>
        <w:jc w:val="both"/>
        <w:rPr>
          <w:rFonts w:asciiTheme="minorEastAsia" w:eastAsiaTheme="minorEastAsia" w:hAnsiTheme="minorEastAsia"/>
        </w:rPr>
      </w:pPr>
      <w:r>
        <w:rPr>
          <w:rFonts w:ascii="宋体" w:hAnsi="宋体"/>
        </w:rPr>
        <w:t>（3）</w:t>
      </w:r>
      <w:r>
        <w:rPr>
          <w:rFonts w:asciiTheme="minorEastAsia" w:eastAsiaTheme="minorEastAsia" w:hAnsiTheme="minorEastAsia"/>
        </w:rPr>
        <w:t>具有有效的中华人民共和国主治医师或主治医师以上职称的《医师职称证书》；</w:t>
      </w:r>
    </w:p>
    <w:p w14:paraId="0C224A8A" w14:textId="77777777" w:rsidR="00B90481" w:rsidRDefault="00B90481">
      <w:pPr>
        <w:pStyle w:val="ab"/>
        <w:ind w:firstLineChars="112" w:firstLine="202"/>
        <w:jc w:val="both"/>
        <w:rPr>
          <w:rFonts w:asciiTheme="minorEastAsia" w:eastAsiaTheme="minorEastAsia" w:hAnsiTheme="minorEastAsia"/>
        </w:rPr>
      </w:pPr>
      <w:r>
        <w:rPr>
          <w:rFonts w:ascii="宋体" w:hAnsi="宋体"/>
        </w:rPr>
        <w:t>（4）</w:t>
      </w:r>
      <w:r>
        <w:rPr>
          <w:rFonts w:asciiTheme="minorEastAsia" w:eastAsiaTheme="minorEastAsia" w:hAnsiTheme="minorEastAsia"/>
        </w:rPr>
        <w:t>在</w:t>
      </w:r>
      <w:r>
        <w:rPr>
          <w:rFonts w:asciiTheme="minorEastAsia" w:eastAsiaTheme="minorEastAsia" w:hAnsiTheme="minorEastAsia" w:hint="eastAsia"/>
        </w:rPr>
        <w:t>国家《医院分级管理标准》</w:t>
      </w:r>
      <w:r>
        <w:rPr>
          <w:rFonts w:asciiTheme="minorEastAsia" w:eastAsiaTheme="minorEastAsia" w:hAnsiTheme="minorEastAsia"/>
        </w:rPr>
        <w:t>二级或二级以上医院的相应科室从事临床工作三年以上。</w:t>
      </w:r>
    </w:p>
  </w:footnote>
  <w:footnote w:id="7">
    <w:p w14:paraId="1A924902" w14:textId="77777777" w:rsidR="00B90481" w:rsidRDefault="00B90481">
      <w:pPr>
        <w:pStyle w:val="ab"/>
        <w:ind w:left="202" w:hangingChars="112" w:hanging="202"/>
      </w:pPr>
      <w:r>
        <w:rPr>
          <w:rStyle w:val="af3"/>
          <w:rFonts w:ascii="宋体" w:hAnsi="宋体"/>
          <w:b/>
        </w:rPr>
        <w:footnoteRef/>
      </w:r>
      <w:r>
        <w:rPr>
          <w:rStyle w:val="af3"/>
          <w:rFonts w:hint="eastAsia"/>
          <w:b/>
        </w:rPr>
        <w:t xml:space="preserve"> </w:t>
      </w:r>
      <w:r>
        <w:rPr>
          <w:rFonts w:asciiTheme="minorEastAsia" w:eastAsiaTheme="minorEastAsia" w:hAnsiTheme="minorEastAsia" w:hint="eastAsia"/>
          <w:b/>
        </w:rPr>
        <w:t>初次确诊</w:t>
      </w:r>
      <w:r>
        <w:rPr>
          <w:rFonts w:hint="eastAsia"/>
        </w:rPr>
        <w:t>：指自被保险人出生之日起第一次经医院确诊患有某种疾病，而不是指自本主险合同生效之后第一次经医院确诊患有某种疾病。</w:t>
      </w:r>
    </w:p>
  </w:footnote>
  <w:footnote w:id="8">
    <w:p w14:paraId="79078007"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hint="eastAsia"/>
          <w:b/>
        </w:rPr>
        <w:t xml:space="preserve"> 周岁</w:t>
      </w:r>
      <w:r>
        <w:rPr>
          <w:rFonts w:ascii="宋体" w:hAnsi="宋体"/>
        </w:rPr>
        <w:t>：</w:t>
      </w:r>
      <w:r>
        <w:rPr>
          <w:rFonts w:ascii="宋体" w:hAnsi="宋体" w:hint="eastAsia"/>
        </w:rPr>
        <w:t>指</w:t>
      </w:r>
      <w:r>
        <w:rPr>
          <w:rFonts w:ascii="宋体" w:hAnsi="宋体"/>
        </w:rPr>
        <w:t>按</w:t>
      </w:r>
      <w:r>
        <w:rPr>
          <w:rFonts w:ascii="宋体" w:hAnsi="宋体" w:hint="eastAsia"/>
        </w:rPr>
        <w:t>有效身份证件中记载的出生日期计算的年龄，自出生之日起为0周岁，每经过一年增加一岁，不足一年的不计。例如，出生日期为2010年10月1日，2010年10月1日至2011年9月30日期间为0周岁，2011年10月1日至2012年9月30日期间为1周岁，依此类推。2028年10月1日零时即年满十八周岁。</w:t>
      </w:r>
    </w:p>
  </w:footnote>
  <w:footnote w:id="9">
    <w:p w14:paraId="2FC7967D" w14:textId="77777777" w:rsidR="00B90481" w:rsidRDefault="00B90481">
      <w:pPr>
        <w:pStyle w:val="ab"/>
        <w:rPr>
          <w:rFonts w:ascii="宋体" w:hAnsi="宋体"/>
          <w:b/>
        </w:rPr>
      </w:pPr>
      <w:r>
        <w:rPr>
          <w:rStyle w:val="af3"/>
          <w:rFonts w:ascii="宋体" w:hAnsi="宋体"/>
          <w:b/>
        </w:rPr>
        <w:footnoteRef/>
      </w:r>
      <w:r>
        <w:rPr>
          <w:rFonts w:hint="eastAsia"/>
          <w:b/>
        </w:rPr>
        <w:t xml:space="preserve"> </w:t>
      </w:r>
      <w:r>
        <w:rPr>
          <w:rFonts w:asciiTheme="minorEastAsia" w:eastAsiaTheme="minorEastAsia" w:hAnsiTheme="minorEastAsia" w:hint="eastAsia"/>
          <w:b/>
        </w:rPr>
        <w:t>确诊日</w:t>
      </w:r>
      <w:r>
        <w:t>：</w:t>
      </w:r>
      <w:r>
        <w:rPr>
          <w:rFonts w:hint="eastAsia"/>
        </w:rPr>
        <w:t>若被保险</w:t>
      </w:r>
      <w:r>
        <w:rPr>
          <w:rFonts w:ascii="宋体" w:hAnsi="宋体" w:hint="eastAsia"/>
        </w:rPr>
        <w:t>人发生了本主险合同定义的疾病，以达到该疾病判定标准的日期为疾病确诊日。</w:t>
      </w:r>
    </w:p>
  </w:footnote>
  <w:footnote w:id="10">
    <w:p w14:paraId="72A61F0B" w14:textId="4C61432C" w:rsidR="00B90481" w:rsidRPr="00805F94" w:rsidRDefault="00B90481" w:rsidP="00DD33E1">
      <w:pPr>
        <w:pStyle w:val="ab"/>
        <w:ind w:left="202" w:hangingChars="112" w:hanging="202"/>
      </w:pPr>
      <w:r w:rsidRPr="00DD33E1">
        <w:rPr>
          <w:rStyle w:val="af3"/>
          <w:b/>
        </w:rPr>
        <w:footnoteRef/>
      </w:r>
      <w:r>
        <w:rPr>
          <w:rFonts w:hint="eastAsia"/>
          <w:b/>
        </w:rPr>
        <w:t xml:space="preserve"> </w:t>
      </w:r>
      <w:r>
        <w:rPr>
          <w:rFonts w:hint="eastAsia"/>
          <w:b/>
        </w:rPr>
        <w:t>到达年龄</w:t>
      </w:r>
      <w:r>
        <w:t>：</w:t>
      </w:r>
      <w:r>
        <w:rPr>
          <w:rFonts w:hint="eastAsia"/>
        </w:rPr>
        <w:t>指的是</w:t>
      </w:r>
      <w:r>
        <w:t>保险单上载明的被保险人投保年龄</w:t>
      </w:r>
      <w:r>
        <w:rPr>
          <w:rFonts w:hint="eastAsia"/>
        </w:rPr>
        <w:t>，加上保单年度数，再减去</w:t>
      </w:r>
      <w:r>
        <w:rPr>
          <w:rFonts w:ascii="宋体" w:hAnsi="宋体" w:hint="eastAsia"/>
        </w:rPr>
        <w:t>1</w:t>
      </w:r>
      <w:r>
        <w:rPr>
          <w:rFonts w:hint="eastAsia"/>
        </w:rPr>
        <w:t>后所得到的年龄。</w:t>
      </w:r>
      <w:r>
        <w:rPr>
          <w:rFonts w:hint="eastAsia"/>
          <w:b/>
        </w:rPr>
        <w:t>如果被保险人投保时的真实年龄与保险单上载明的投保年龄不一致，则以被保险人投保时的真实年龄作为投保年龄。</w:t>
      </w:r>
    </w:p>
  </w:footnote>
  <w:footnote w:id="11">
    <w:p w14:paraId="69B0B77E"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hint="eastAsia"/>
          <w:b/>
        </w:rPr>
        <w:t xml:space="preserve"> 新发恶性肿瘤</w:t>
      </w:r>
      <w:r>
        <w:rPr>
          <w:rFonts w:ascii="宋体" w:hAnsi="宋体" w:hint="eastAsia"/>
        </w:rPr>
        <w:t>：与本主险合同有效期内最近前一次确诊并符合本主险合同给付条件的恶性肿瘤</w:t>
      </w:r>
      <w:r w:rsidRPr="00782A1A">
        <w:rPr>
          <w:rFonts w:ascii="宋体" w:hAnsi="宋体" w:hint="eastAsia"/>
          <w:b/>
        </w:rPr>
        <w:t>属于不同的病理学及组织学类型</w:t>
      </w:r>
      <w:r>
        <w:rPr>
          <w:rFonts w:ascii="宋体" w:hAnsi="宋体" w:hint="eastAsia"/>
        </w:rPr>
        <w:t>。</w:t>
      </w:r>
    </w:p>
  </w:footnote>
  <w:footnote w:id="12">
    <w:p w14:paraId="3B7C5795"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b/>
        </w:rPr>
        <w:t xml:space="preserve"> </w:t>
      </w:r>
      <w:r>
        <w:rPr>
          <w:rFonts w:ascii="宋体" w:hAnsi="宋体" w:hint="eastAsia"/>
          <w:b/>
        </w:rPr>
        <w:t>恶性肿瘤复发</w:t>
      </w:r>
      <w:r>
        <w:rPr>
          <w:rFonts w:ascii="宋体" w:hAnsi="宋体" w:hint="eastAsia"/>
        </w:rPr>
        <w:t>：指恶性肿瘤经过手术切除或放射等治疗后已达到临床完全缓解，但经过一段时期后原肿瘤细胞又继续生长繁殖，在原来的部位重新长成与原恶性肿瘤病理学及组织学类型相同的恶性肿瘤，这个现象称为复发。临床完全缓解是指经物理检查、实验室检查、影像学检查等证实恶性肿瘤病灶已消失。理赔时需提供我们认可的医院的专科医生开具的医疗证明以及相应的影像检查和</w:t>
      </w:r>
      <w:r>
        <w:rPr>
          <w:rFonts w:ascii="宋体" w:hAnsi="宋体"/>
        </w:rPr>
        <w:t>/</w:t>
      </w:r>
      <w:r>
        <w:rPr>
          <w:rFonts w:ascii="宋体" w:hAnsi="宋体" w:hint="eastAsia"/>
        </w:rPr>
        <w:t>或实验室检查的证据。</w:t>
      </w:r>
    </w:p>
  </w:footnote>
  <w:footnote w:id="13">
    <w:p w14:paraId="2C38BDCE"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b/>
        </w:rPr>
        <w:t xml:space="preserve"> </w:t>
      </w:r>
      <w:r>
        <w:rPr>
          <w:rFonts w:ascii="宋体" w:hAnsi="宋体" w:hint="eastAsia"/>
          <w:b/>
        </w:rPr>
        <w:t>恶性肿瘤转移或扩散</w:t>
      </w:r>
      <w:r>
        <w:rPr>
          <w:rFonts w:ascii="宋体" w:hAnsi="宋体" w:hint="eastAsia"/>
        </w:rPr>
        <w:t>：指恶性肿瘤细胞超越出原发病灶器官，通过各种转移方式，到达继发组织或器官继续增殖生长并形成与原发恶性肿瘤有相同病理学及组织学类型的继发恶性肿瘤。恶性肿瘤转移或扩散的主要途径包括直接侵犯邻近器官、淋巴转移、血行转移、腔内种植等。</w:t>
      </w:r>
    </w:p>
  </w:footnote>
  <w:footnote w:id="14">
    <w:p w14:paraId="17D6570A"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b/>
        </w:rPr>
        <w:t xml:space="preserve"> </w:t>
      </w:r>
      <w:r>
        <w:rPr>
          <w:rFonts w:ascii="宋体" w:hAnsi="宋体" w:hint="eastAsia"/>
          <w:b/>
        </w:rPr>
        <w:t>恶性肿瘤持续存在</w:t>
      </w:r>
      <w:r>
        <w:rPr>
          <w:rFonts w:ascii="宋体" w:hAnsi="宋体" w:hint="eastAsia"/>
        </w:rPr>
        <w:t>：经病理检查或影像学检查，显示首次病变部位恶性肿瘤仍然存在</w:t>
      </w:r>
      <w:r w:rsidRPr="00782A1A">
        <w:rPr>
          <w:rFonts w:ascii="宋体" w:hAnsi="宋体" w:hint="eastAsia"/>
          <w:shd w:val="pct10" w:color="auto" w:fill="FFFFFF"/>
        </w:rPr>
        <w:t>且继续接受恶性肿瘤手术、放射治疗、化学治疗等治疗的</w:t>
      </w:r>
      <w:r>
        <w:rPr>
          <w:rFonts w:ascii="宋体" w:hAnsi="宋体" w:hint="eastAsia"/>
        </w:rPr>
        <w:t>。</w:t>
      </w:r>
    </w:p>
  </w:footnote>
  <w:footnote w:id="15">
    <w:p w14:paraId="14D5CDE3" w14:textId="77777777" w:rsidR="00B90481" w:rsidRDefault="00B90481">
      <w:pPr>
        <w:pStyle w:val="ab"/>
        <w:ind w:left="202" w:hangingChars="112" w:hanging="202"/>
        <w:rPr>
          <w:rFonts w:ascii="宋体" w:hAnsi="宋体"/>
          <w:sz w:val="21"/>
          <w:szCs w:val="21"/>
        </w:rPr>
      </w:pPr>
      <w:r>
        <w:rPr>
          <w:rStyle w:val="af3"/>
          <w:rFonts w:ascii="宋体" w:hAnsi="宋体"/>
          <w:b/>
          <w:szCs w:val="21"/>
        </w:rPr>
        <w:footnoteRef/>
      </w:r>
      <w:r>
        <w:rPr>
          <w:rFonts w:ascii="宋体" w:hAnsi="宋体"/>
          <w:szCs w:val="21"/>
        </w:rPr>
        <w:t xml:space="preserve"> </w:t>
      </w:r>
      <w:r>
        <w:rPr>
          <w:rFonts w:ascii="宋体" w:hAnsi="宋体" w:hint="eastAsia"/>
          <w:b/>
        </w:rPr>
        <w:t>实际入住重症监护病房天数</w:t>
      </w:r>
      <w:r>
        <w:rPr>
          <w:rFonts w:ascii="宋体" w:hAnsi="宋体" w:hint="eastAsia"/>
        </w:rPr>
        <w:t>：在重症监护病房内实际的治疗日数，入住满二十四小时为一日。</w:t>
      </w:r>
    </w:p>
  </w:footnote>
  <w:footnote w:id="16">
    <w:p w14:paraId="69483A3B" w14:textId="77777777" w:rsidR="00B90481" w:rsidRDefault="00B90481">
      <w:pPr>
        <w:pStyle w:val="ab"/>
        <w:ind w:left="202" w:hangingChars="112" w:hanging="202"/>
        <w:rPr>
          <w:rFonts w:ascii="宋体" w:hAnsi="宋体"/>
          <w:sz w:val="21"/>
          <w:szCs w:val="21"/>
        </w:rPr>
      </w:pPr>
      <w:r>
        <w:rPr>
          <w:rStyle w:val="af3"/>
          <w:rFonts w:ascii="宋体" w:hAnsi="宋体"/>
          <w:b/>
          <w:szCs w:val="21"/>
        </w:rPr>
        <w:footnoteRef/>
      </w:r>
      <w:r>
        <w:rPr>
          <w:rFonts w:ascii="宋体" w:hAnsi="宋体"/>
          <w:b/>
          <w:sz w:val="15"/>
        </w:rPr>
        <w:t xml:space="preserve"> </w:t>
      </w:r>
      <w:r>
        <w:rPr>
          <w:rFonts w:ascii="宋体" w:hAnsi="宋体"/>
          <w:b/>
        </w:rPr>
        <w:t>保单年度</w:t>
      </w:r>
      <w:r>
        <w:rPr>
          <w:rFonts w:ascii="宋体" w:hAnsi="宋体" w:hint="eastAsia"/>
        </w:rPr>
        <w:t>：指从保险合同生效日</w:t>
      </w:r>
      <w:r>
        <w:rPr>
          <w:rFonts w:ascii="宋体" w:hAnsi="宋体"/>
        </w:rPr>
        <w:t>或保单周年日的零时起至下一年度保险合同保单周年日的前一日二十四时止的期间为一个保单年度</w:t>
      </w:r>
      <w:r>
        <w:rPr>
          <w:rFonts w:ascii="宋体" w:hAnsi="宋体" w:hint="eastAsia"/>
        </w:rPr>
        <w:t>。</w:t>
      </w:r>
    </w:p>
  </w:footnote>
  <w:footnote w:id="17">
    <w:p w14:paraId="12EECF30" w14:textId="77777777" w:rsidR="00B90481" w:rsidRDefault="00B90481">
      <w:pPr>
        <w:pStyle w:val="ab"/>
        <w:ind w:left="202" w:hangingChars="112" w:hanging="202"/>
      </w:pPr>
      <w:r>
        <w:rPr>
          <w:rStyle w:val="af3"/>
          <w:rFonts w:ascii="宋体" w:hAnsi="宋体"/>
          <w:b/>
        </w:rPr>
        <w:footnoteRef/>
      </w:r>
      <w:r>
        <w:rPr>
          <w:rFonts w:ascii="宋体" w:hAnsi="宋体" w:hint="eastAsia"/>
          <w:b/>
        </w:rPr>
        <w:t xml:space="preserve"> 保单周年日</w:t>
      </w:r>
      <w:r>
        <w:rPr>
          <w:rFonts w:ascii="宋体" w:hAnsi="宋体" w:hint="eastAsia"/>
        </w:rPr>
        <w:t>：指保险合同生效日在合同生效后每年的对应日，不含合同生效日当日。如果当月没有对应的同一日，则以该月最后一日为对应日。</w:t>
      </w:r>
    </w:p>
  </w:footnote>
  <w:footnote w:id="18">
    <w:p w14:paraId="6E8F3189"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hint="eastAsia"/>
          <w:b/>
        </w:rPr>
        <w:t xml:space="preserve"> 毒品：</w:t>
      </w:r>
      <w:r>
        <w:rPr>
          <w:rFonts w:ascii="宋体" w:hAnsi="宋体" w:hint="eastAsia"/>
        </w:rPr>
        <w:t>指</w:t>
      </w:r>
      <w:r>
        <w:rPr>
          <w:rFonts w:ascii="宋体" w:hAnsi="宋体"/>
        </w:rPr>
        <w:t>《</w:t>
      </w:r>
      <w:r>
        <w:rPr>
          <w:rFonts w:ascii="宋体" w:hAnsi="宋体" w:hint="eastAsia"/>
        </w:rPr>
        <w:t>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footnote>
  <w:footnote w:id="19">
    <w:p w14:paraId="066C5174"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hint="eastAsia"/>
          <w:b/>
        </w:rPr>
        <w:t xml:space="preserve"> 酒后驾驶</w:t>
      </w:r>
      <w:r>
        <w:rPr>
          <w:rFonts w:ascii="宋体" w:hAnsi="宋体" w:hint="eastAsia"/>
        </w:rPr>
        <w:t>：指经检测或鉴定，发生事故时车辆驾驶人员每百毫升血液中的酒精含量达到或超过一定的标准，公安机关交通管理部门依据《道路交通安全法》或道路交通相关法规的规定认定为饮酒后驾驶或醉酒后驾驶。</w:t>
      </w:r>
    </w:p>
  </w:footnote>
  <w:footnote w:id="20">
    <w:p w14:paraId="047D8C36" w14:textId="77777777" w:rsidR="00B90481" w:rsidRDefault="00B90481">
      <w:pPr>
        <w:pStyle w:val="ab"/>
        <w:ind w:left="202" w:hangingChars="112" w:hanging="202"/>
        <w:rPr>
          <w:rFonts w:ascii="宋体" w:hAnsi="宋体"/>
        </w:rPr>
      </w:pPr>
      <w:r>
        <w:rPr>
          <w:rFonts w:ascii="宋体" w:hAnsi="宋体"/>
          <w:b/>
          <w:vertAlign w:val="superscript"/>
        </w:rPr>
        <w:footnoteRef/>
      </w:r>
      <w:r>
        <w:rPr>
          <w:rFonts w:ascii="宋体" w:hAnsi="宋体" w:hint="eastAsia"/>
          <w:b/>
        </w:rPr>
        <w:t xml:space="preserve"> 无合法有效驾驶证驾驶：</w:t>
      </w:r>
      <w:r>
        <w:rPr>
          <w:rFonts w:ascii="宋体" w:hAnsi="宋体" w:hint="eastAsia"/>
        </w:rPr>
        <w:t>指下列情形之一：</w:t>
      </w:r>
    </w:p>
    <w:p w14:paraId="5F78A884" w14:textId="77777777" w:rsidR="00B90481" w:rsidRDefault="00B90481">
      <w:pPr>
        <w:pStyle w:val="ab"/>
        <w:ind w:firstLineChars="112" w:firstLine="202"/>
        <w:rPr>
          <w:rFonts w:ascii="宋体" w:hAnsi="宋体"/>
        </w:rPr>
      </w:pPr>
      <w:r>
        <w:rPr>
          <w:rFonts w:ascii="宋体" w:hAnsi="宋体" w:hint="eastAsia"/>
        </w:rPr>
        <w:t>（</w:t>
      </w:r>
      <w:r>
        <w:rPr>
          <w:rFonts w:ascii="宋体" w:hAnsi="宋体"/>
        </w:rPr>
        <w:t>1）没有取得中华人民共和国有关主管部门颁发或者认可的驾驶资格证书；</w:t>
      </w:r>
    </w:p>
    <w:p w14:paraId="32E5B2EF" w14:textId="77777777" w:rsidR="00B90481" w:rsidRDefault="00B90481">
      <w:pPr>
        <w:pStyle w:val="ab"/>
        <w:ind w:firstLineChars="112" w:firstLine="202"/>
        <w:rPr>
          <w:rFonts w:ascii="宋体" w:hAnsi="宋体"/>
        </w:rPr>
      </w:pPr>
      <w:r>
        <w:rPr>
          <w:rFonts w:ascii="宋体" w:hAnsi="宋体" w:hint="eastAsia"/>
        </w:rPr>
        <w:t>（</w:t>
      </w:r>
      <w:r>
        <w:rPr>
          <w:rFonts w:ascii="宋体" w:hAnsi="宋体"/>
        </w:rPr>
        <w:t>2）驾驶与驾驶证准驾车型不相符合的车辆；</w:t>
      </w:r>
    </w:p>
    <w:p w14:paraId="310E52A4" w14:textId="77777777" w:rsidR="00B90481" w:rsidRDefault="00B90481">
      <w:pPr>
        <w:pStyle w:val="ab"/>
        <w:ind w:firstLineChars="112" w:firstLine="202"/>
        <w:rPr>
          <w:rFonts w:ascii="宋体" w:hAnsi="宋体"/>
        </w:rPr>
      </w:pPr>
      <w:r>
        <w:rPr>
          <w:rFonts w:ascii="宋体" w:hAnsi="宋体" w:hint="eastAsia"/>
        </w:rPr>
        <w:t>（</w:t>
      </w:r>
      <w:r>
        <w:rPr>
          <w:rFonts w:ascii="宋体" w:hAnsi="宋体"/>
        </w:rPr>
        <w:t>3）持审验不合格的驾驶证驾驶；</w:t>
      </w:r>
    </w:p>
    <w:p w14:paraId="0D8532ED" w14:textId="77777777" w:rsidR="00B90481" w:rsidRDefault="00B90481">
      <w:pPr>
        <w:pStyle w:val="ab"/>
        <w:ind w:firstLineChars="112" w:firstLine="202"/>
        <w:rPr>
          <w:rFonts w:ascii="宋体" w:hAnsi="宋体"/>
        </w:rPr>
      </w:pPr>
      <w:r>
        <w:rPr>
          <w:rFonts w:ascii="宋体" w:hAnsi="宋体" w:hint="eastAsia"/>
        </w:rPr>
        <w:t>（</w:t>
      </w:r>
      <w:r>
        <w:rPr>
          <w:rFonts w:ascii="宋体" w:hAnsi="宋体"/>
        </w:rPr>
        <w:t>4）持学习驾驶证学习驾车时，无教练员随车指导，或不按指定时间、路线学习驾车</w:t>
      </w:r>
      <w:r>
        <w:rPr>
          <w:rFonts w:ascii="宋体" w:hAnsi="宋体" w:hint="eastAsia"/>
        </w:rPr>
        <w:t>。</w:t>
      </w:r>
    </w:p>
  </w:footnote>
  <w:footnote w:id="21">
    <w:p w14:paraId="49FF5D4D" w14:textId="77777777" w:rsidR="00B90481" w:rsidRDefault="00B90481">
      <w:pPr>
        <w:pStyle w:val="ab"/>
        <w:ind w:left="202" w:hangingChars="112" w:hanging="202"/>
        <w:rPr>
          <w:rFonts w:ascii="宋体" w:hAnsi="宋体"/>
        </w:rPr>
      </w:pPr>
      <w:r>
        <w:rPr>
          <w:rFonts w:ascii="宋体" w:hAnsi="宋体"/>
          <w:b/>
          <w:vertAlign w:val="superscript"/>
        </w:rPr>
        <w:footnoteRef/>
      </w:r>
      <w:r>
        <w:rPr>
          <w:rFonts w:ascii="宋体" w:hAnsi="宋体" w:hint="eastAsia"/>
          <w:b/>
        </w:rPr>
        <w:t xml:space="preserve"> 无合法有效行驶证：</w:t>
      </w:r>
      <w:r>
        <w:rPr>
          <w:rFonts w:ascii="宋体" w:hAnsi="宋体" w:hint="eastAsia"/>
        </w:rPr>
        <w:t>指下列情形之一：</w:t>
      </w:r>
    </w:p>
    <w:p w14:paraId="64AB3D72" w14:textId="77777777" w:rsidR="00B90481" w:rsidRDefault="00B90481">
      <w:pPr>
        <w:pStyle w:val="ab"/>
        <w:ind w:firstLineChars="112" w:firstLine="202"/>
        <w:rPr>
          <w:rFonts w:ascii="宋体" w:hAnsi="宋体"/>
        </w:rPr>
      </w:pPr>
      <w:r>
        <w:rPr>
          <w:rFonts w:ascii="宋体" w:hAnsi="宋体" w:hint="eastAsia"/>
        </w:rPr>
        <w:t>（</w:t>
      </w:r>
      <w:r>
        <w:rPr>
          <w:rFonts w:ascii="宋体" w:hAnsi="宋体"/>
        </w:rPr>
        <w:t>1）机动车被依法注销登记的；</w:t>
      </w:r>
    </w:p>
    <w:p w14:paraId="18611C87" w14:textId="77777777" w:rsidR="00B90481" w:rsidRDefault="00B90481">
      <w:pPr>
        <w:pStyle w:val="ab"/>
        <w:ind w:firstLineChars="112" w:firstLine="202"/>
        <w:rPr>
          <w:rFonts w:ascii="宋体" w:hAnsi="宋体"/>
        </w:rPr>
      </w:pPr>
      <w:r>
        <w:rPr>
          <w:rFonts w:ascii="宋体" w:hAnsi="宋体" w:hint="eastAsia"/>
        </w:rPr>
        <w:t>（</w:t>
      </w:r>
      <w:r>
        <w:rPr>
          <w:rFonts w:ascii="宋体" w:hAnsi="宋体"/>
        </w:rPr>
        <w:t>2）未依法按时进行或通过机动车安全技术检验。</w:t>
      </w:r>
    </w:p>
  </w:footnote>
  <w:footnote w:id="22">
    <w:p w14:paraId="60901FE9" w14:textId="77777777" w:rsidR="00B90481" w:rsidRDefault="00B90481">
      <w:pPr>
        <w:pStyle w:val="ab"/>
        <w:ind w:left="202" w:hangingChars="112" w:hanging="202"/>
        <w:rPr>
          <w:rFonts w:ascii="宋体" w:hAnsi="宋体"/>
        </w:rPr>
      </w:pPr>
      <w:r>
        <w:rPr>
          <w:rFonts w:ascii="宋体" w:hAnsi="宋体"/>
          <w:b/>
          <w:vertAlign w:val="superscript"/>
        </w:rPr>
        <w:footnoteRef/>
      </w:r>
      <w:r>
        <w:rPr>
          <w:rFonts w:ascii="宋体" w:hAnsi="宋体" w:hint="eastAsia"/>
          <w:b/>
        </w:rPr>
        <w:t xml:space="preserve"> 机动车：</w:t>
      </w:r>
      <w:r>
        <w:rPr>
          <w:rFonts w:asciiTheme="minorEastAsia" w:eastAsiaTheme="minorEastAsia" w:hAnsiTheme="minorEastAsia" w:hint="eastAsia"/>
        </w:rPr>
        <w:t>指以动力装置驱动或者牵引，上道路行驶的供人员乘用或者用于运送物品以及进行工程专项作业的轮式车辆或履带车辆。</w:t>
      </w:r>
    </w:p>
  </w:footnote>
  <w:footnote w:id="23">
    <w:p w14:paraId="142528AE"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hint="eastAsia"/>
          <w:b/>
        </w:rPr>
        <w:t xml:space="preserve"> 感染艾滋病病毒或患艾滋病：</w:t>
      </w:r>
      <w:r>
        <w:rPr>
          <w:rFonts w:ascii="宋体" w:hAnsi="宋体" w:hint="eastAsia"/>
        </w:rPr>
        <w:t>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footnote>
  <w:footnote w:id="24">
    <w:p w14:paraId="7096586D" w14:textId="77777777" w:rsidR="00B90481" w:rsidRDefault="00B90481">
      <w:pPr>
        <w:pStyle w:val="ab"/>
        <w:ind w:left="181" w:hangingChars="100" w:hanging="181"/>
      </w:pPr>
      <w:r>
        <w:rPr>
          <w:rStyle w:val="af3"/>
          <w:rFonts w:asciiTheme="minorEastAsia" w:eastAsiaTheme="minorEastAsia" w:hAnsiTheme="minorEastAsia"/>
          <w:b/>
        </w:rPr>
        <w:footnoteRef/>
      </w:r>
      <w:r>
        <w:t xml:space="preserve"> </w:t>
      </w:r>
      <w:r>
        <w:rPr>
          <w:rFonts w:asciiTheme="minorEastAsia" w:eastAsiaTheme="minorEastAsia" w:hAnsiTheme="minorEastAsia" w:hint="eastAsia"/>
          <w:b/>
        </w:rPr>
        <w:t>战争：</w:t>
      </w:r>
      <w:r>
        <w:rPr>
          <w:rFonts w:hint="eastAsia"/>
        </w:rPr>
        <w:t>指国家与国家、民族与民族、政治集团与政治集团之间为了一定的政治、经济目的而进行的武装斗争，以政府宣布为准。</w:t>
      </w:r>
    </w:p>
  </w:footnote>
  <w:footnote w:id="25">
    <w:p w14:paraId="52CB36CC" w14:textId="77777777" w:rsidR="00B90481" w:rsidRDefault="00B90481">
      <w:pPr>
        <w:pStyle w:val="ab"/>
      </w:pPr>
      <w:r>
        <w:rPr>
          <w:rStyle w:val="af3"/>
          <w:rFonts w:ascii="宋体" w:hAnsi="宋体"/>
          <w:b/>
        </w:rPr>
        <w:footnoteRef/>
      </w:r>
      <w:r>
        <w:rPr>
          <w:rFonts w:asciiTheme="minorEastAsia" w:eastAsiaTheme="minorEastAsia" w:hAnsiTheme="minorEastAsia" w:hint="eastAsia"/>
          <w:b/>
        </w:rPr>
        <w:t xml:space="preserve"> 军事冲突：</w:t>
      </w:r>
      <w:r>
        <w:rPr>
          <w:rFonts w:hint="eastAsia"/>
        </w:rPr>
        <w:t>指国家或民族之间在一定范围内的武装对抗，以政府宣布为准。</w:t>
      </w:r>
    </w:p>
  </w:footnote>
  <w:footnote w:id="26">
    <w:p w14:paraId="59020AD9" w14:textId="77777777" w:rsidR="00B90481" w:rsidRDefault="00B90481">
      <w:pPr>
        <w:pStyle w:val="ab"/>
      </w:pPr>
      <w:r>
        <w:rPr>
          <w:rStyle w:val="af3"/>
          <w:rFonts w:ascii="宋体" w:hAnsi="宋体"/>
          <w:b/>
        </w:rPr>
        <w:footnoteRef/>
      </w:r>
      <w:r>
        <w:rPr>
          <w:rFonts w:hint="eastAsia"/>
          <w:b/>
        </w:rPr>
        <w:t xml:space="preserve"> </w:t>
      </w:r>
      <w:r>
        <w:rPr>
          <w:rFonts w:hint="eastAsia"/>
          <w:b/>
        </w:rPr>
        <w:t>暴乱：</w:t>
      </w:r>
      <w:r>
        <w:rPr>
          <w:rFonts w:hint="eastAsia"/>
        </w:rPr>
        <w:t>指破坏社会秩序的武装骚动，以政府宣布为准。</w:t>
      </w:r>
    </w:p>
  </w:footnote>
  <w:footnote w:id="27">
    <w:p w14:paraId="3E66FF66"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hint="eastAsia"/>
          <w:b/>
        </w:rPr>
        <w:t xml:space="preserve"> 遗传性疾病</w:t>
      </w:r>
      <w:r>
        <w:rPr>
          <w:rFonts w:ascii="宋体" w:hAnsi="宋体" w:hint="eastAsia"/>
        </w:rPr>
        <w:t>：指生殖细胞或受精卵的遗传物质（染色体和基因）发生突变或畸变所引起的疾病，通常具有由亲代传至后代的垂直传递的特征。</w:t>
      </w:r>
    </w:p>
  </w:footnote>
  <w:footnote w:id="28">
    <w:p w14:paraId="1060BA5C"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hint="eastAsia"/>
          <w:b/>
          <w:bCs/>
          <w:color w:val="000000"/>
          <w:szCs w:val="21"/>
        </w:rPr>
        <w:t xml:space="preserve"> </w:t>
      </w:r>
      <w:r>
        <w:rPr>
          <w:rFonts w:ascii="宋体" w:hAnsi="宋体"/>
          <w:b/>
        </w:rPr>
        <w:t>先天性畸形、变形或染色体异常</w:t>
      </w:r>
      <w:r>
        <w:rPr>
          <w:rFonts w:ascii="宋体" w:hAnsi="宋体" w:hint="eastAsia"/>
          <w:b/>
        </w:rPr>
        <w:t>：</w:t>
      </w:r>
      <w:r>
        <w:rPr>
          <w:rFonts w:ascii="宋体" w:hAnsi="宋体" w:hint="eastAsia"/>
          <w:bCs/>
          <w:color w:val="000000"/>
          <w:szCs w:val="21"/>
        </w:rPr>
        <w:t>指被保险人出生时就具有的畸形、变形或染色体异常。先天性畸形、变形</w:t>
      </w:r>
      <w:r>
        <w:rPr>
          <w:rFonts w:ascii="宋体" w:hAnsi="宋体"/>
          <w:bCs/>
          <w:color w:val="000000"/>
          <w:szCs w:val="21"/>
        </w:rPr>
        <w:t>和</w:t>
      </w:r>
      <w:r>
        <w:rPr>
          <w:rFonts w:ascii="宋体" w:hAnsi="宋体" w:hint="eastAsia"/>
          <w:bCs/>
          <w:color w:val="000000"/>
          <w:szCs w:val="21"/>
        </w:rPr>
        <w:t>染色体异常依照世界卫生组织《疾病和有关健康问题的国际统计分类》第十次修订版（ICD-10）确定。</w:t>
      </w:r>
    </w:p>
  </w:footnote>
  <w:footnote w:id="29">
    <w:p w14:paraId="69DA07C7" w14:textId="77777777" w:rsidR="00B90481" w:rsidRDefault="00B90481">
      <w:pPr>
        <w:pStyle w:val="ab"/>
        <w:ind w:left="202" w:hangingChars="112" w:hanging="202"/>
        <w:jc w:val="both"/>
        <w:rPr>
          <w:rFonts w:ascii="宋体" w:hAnsi="宋体"/>
        </w:rPr>
      </w:pPr>
      <w:r>
        <w:rPr>
          <w:rStyle w:val="af3"/>
          <w:rFonts w:ascii="宋体" w:hAnsi="宋体"/>
          <w:b/>
        </w:rPr>
        <w:footnoteRef/>
      </w:r>
      <w:r>
        <w:rPr>
          <w:rFonts w:ascii="宋体" w:hAnsi="宋体" w:hint="eastAsia"/>
          <w:b/>
        </w:rPr>
        <w:t xml:space="preserve"> 保险费约定支付日</w:t>
      </w:r>
      <w:r>
        <w:rPr>
          <w:rFonts w:ascii="宋体" w:hAnsi="宋体"/>
        </w:rPr>
        <w:t>：</w:t>
      </w:r>
      <w:r>
        <w:rPr>
          <w:rFonts w:ascii="宋体" w:hAnsi="宋体" w:hint="eastAsia"/>
        </w:rPr>
        <w:t>指保险合同生效日在每月或每年（根据交费方式确定）的对应日。如果当月无对应的同一日，则以该月最后一日为对应日。</w:t>
      </w:r>
    </w:p>
  </w:footnote>
  <w:footnote w:id="30">
    <w:p w14:paraId="6C694B83" w14:textId="77777777" w:rsidR="00B90481" w:rsidRDefault="00B90481">
      <w:pPr>
        <w:pStyle w:val="ab"/>
        <w:ind w:left="211" w:hangingChars="100" w:hanging="211"/>
      </w:pPr>
      <w:r>
        <w:rPr>
          <w:rStyle w:val="af3"/>
          <w:rFonts w:ascii="宋体" w:hAnsi="宋体"/>
          <w:b/>
          <w:sz w:val="21"/>
          <w:szCs w:val="24"/>
        </w:rPr>
        <w:footnoteRef/>
      </w:r>
      <w:r>
        <w:t xml:space="preserve"> </w:t>
      </w:r>
      <w:r>
        <w:rPr>
          <w:rFonts w:hint="eastAsia"/>
          <w:b/>
        </w:rPr>
        <w:t>有效身份证件</w:t>
      </w:r>
      <w:r>
        <w:rPr>
          <w:rFonts w:hint="eastAsia"/>
        </w:rPr>
        <w:t>：指由中华人民共和国政府主管部门规定的能够证明其身份的证件，如：有效期内的居民身份证、港澳台居民居住证、户口簿以及中华人民共和国政府主管部门颁发或者认可的有效护照或者其他身份证明文件。</w:t>
      </w:r>
    </w:p>
  </w:footnote>
  <w:footnote w:id="31">
    <w:p w14:paraId="1E82C1D9" w14:textId="77777777" w:rsidR="00B90481" w:rsidRDefault="00B90481">
      <w:pPr>
        <w:pStyle w:val="ab"/>
        <w:ind w:left="242" w:hangingChars="115" w:hanging="242"/>
        <w:jc w:val="both"/>
      </w:pPr>
      <w:r>
        <w:rPr>
          <w:rStyle w:val="af3"/>
          <w:rFonts w:ascii="宋体" w:hAnsi="宋体"/>
          <w:b/>
          <w:sz w:val="21"/>
          <w:szCs w:val="24"/>
        </w:rPr>
        <w:footnoteRef/>
      </w:r>
      <w:r>
        <w:rPr>
          <w:rFonts w:hint="eastAsia"/>
        </w:rPr>
        <w:t xml:space="preserve"> </w:t>
      </w:r>
      <w:r>
        <w:rPr>
          <w:rFonts w:hint="eastAsia"/>
          <w:b/>
        </w:rPr>
        <w:t>医疗机构</w:t>
      </w:r>
      <w:r>
        <w:rPr>
          <w:rFonts w:hint="eastAsia"/>
        </w:rPr>
        <w:t>：指经中华人民共和国卫生行政部门颁发医疗机构执业许可证的医院，有执业医师和护士提供全日</w:t>
      </w:r>
      <w:r>
        <w:rPr>
          <w:rFonts w:hint="eastAsia"/>
        </w:rPr>
        <w:t>24</w:t>
      </w:r>
      <w:r>
        <w:rPr>
          <w:rFonts w:hint="eastAsia"/>
        </w:rPr>
        <w:t>小时的医疗和护理服务；但不包括诊所、精神病院及专供康复、休养、戒毒、戒酒、护理、养老等非以直接诊治病人为目的之医院。</w:t>
      </w:r>
    </w:p>
  </w:footnote>
  <w:footnote w:id="32">
    <w:p w14:paraId="195372FB" w14:textId="77777777" w:rsidR="00B90481" w:rsidRDefault="00B90481">
      <w:pPr>
        <w:pStyle w:val="ab"/>
        <w:jc w:val="both"/>
      </w:pPr>
      <w:r>
        <w:rPr>
          <w:rStyle w:val="af3"/>
          <w:rFonts w:ascii="宋体" w:hAnsi="宋体"/>
          <w:b/>
          <w:sz w:val="21"/>
          <w:szCs w:val="24"/>
        </w:rPr>
        <w:footnoteRef/>
      </w:r>
      <w:r>
        <w:t xml:space="preserve"> </w:t>
      </w:r>
      <w:r>
        <w:rPr>
          <w:b/>
        </w:rPr>
        <w:t>鉴定机构</w:t>
      </w:r>
      <w:r>
        <w:rPr>
          <w:rFonts w:hint="eastAsia"/>
        </w:rPr>
        <w:t>：指司法部或省级司法行政机关审核登记、从事司法鉴定业务的法人或者其他组织。</w:t>
      </w:r>
    </w:p>
  </w:footnote>
  <w:footnote w:id="33">
    <w:p w14:paraId="316ED629"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hint="eastAsia"/>
          <w:b/>
        </w:rPr>
        <w:t xml:space="preserve"> 组织病理学检查：</w:t>
      </w:r>
      <w:r>
        <w:rPr>
          <w:rFonts w:ascii="宋体" w:hAnsi="宋体" w:hint="eastAsia"/>
        </w:rPr>
        <w:t>组织病理学检查是通过局部切除、钳取、穿刺等手术方法，从患者机体采取病变组织块，经过包埋、切片后，进行病理检查的方法。</w:t>
      </w:r>
    </w:p>
    <w:p w14:paraId="041AA79C" w14:textId="77777777" w:rsidR="00B90481" w:rsidRDefault="00B90481">
      <w:pPr>
        <w:pStyle w:val="ab"/>
        <w:ind w:leftChars="100" w:left="210"/>
        <w:rPr>
          <w:rFonts w:ascii="宋体" w:hAnsi="宋体"/>
          <w:b/>
        </w:rPr>
      </w:pPr>
      <w:r>
        <w:rPr>
          <w:rFonts w:ascii="宋体" w:hAnsi="宋体" w:hint="eastAsia"/>
          <w:b/>
        </w:rPr>
        <w:t>通过采集病变部位脱落细胞、细针吸取病变部位细胞、体腔积液分离病变细胞等方式获取病变细胞，制成涂片，进行病理检查的方法，属于细胞病理学检查，不属于组织病理学检查。</w:t>
      </w:r>
    </w:p>
  </w:footnote>
  <w:footnote w:id="34">
    <w:p w14:paraId="0D9CAE71" w14:textId="77777777" w:rsidR="00B90481" w:rsidRDefault="00B90481">
      <w:pPr>
        <w:pStyle w:val="ab"/>
        <w:ind w:left="202" w:hangingChars="112" w:hanging="202"/>
      </w:pPr>
      <w:r>
        <w:rPr>
          <w:rStyle w:val="af3"/>
          <w:rFonts w:ascii="宋体" w:hAnsi="宋体"/>
          <w:b/>
        </w:rPr>
        <w:footnoteRef/>
      </w:r>
      <w:r>
        <w:t xml:space="preserve"> </w:t>
      </w:r>
      <w:r>
        <w:rPr>
          <w:rFonts w:ascii="宋体" w:hAnsi="宋体"/>
          <w:b/>
        </w:rPr>
        <w:t>ICD-10</w:t>
      </w:r>
      <w:r>
        <w:rPr>
          <w:rFonts w:hint="eastAsia"/>
          <w:b/>
        </w:rPr>
        <w:t>：</w:t>
      </w:r>
      <w:r>
        <w:rPr>
          <w:rFonts w:ascii="宋体" w:hAnsi="宋体" w:hint="eastAsia"/>
        </w:rPr>
        <w:t>指《疾病和有关健康问题的国际统计分类》第十次修订版（ICD-10），是世界卫生组织（WHO）发布的国际通用的疾病分类方法。</w:t>
      </w:r>
    </w:p>
  </w:footnote>
  <w:footnote w:id="35">
    <w:p w14:paraId="4EDCE351" w14:textId="77777777" w:rsidR="00B90481" w:rsidRDefault="00B90481">
      <w:pPr>
        <w:pStyle w:val="ab"/>
        <w:ind w:left="202" w:hangingChars="112" w:hanging="202"/>
        <w:rPr>
          <w:rFonts w:ascii="宋体" w:hAnsi="宋体"/>
        </w:rPr>
      </w:pPr>
      <w:r>
        <w:rPr>
          <w:rStyle w:val="af3"/>
          <w:rFonts w:ascii="宋体" w:hAnsi="宋体"/>
          <w:b/>
        </w:rPr>
        <w:footnoteRef/>
      </w:r>
      <w:r>
        <w:t xml:space="preserve"> </w:t>
      </w:r>
      <w:r>
        <w:rPr>
          <w:rFonts w:ascii="宋体" w:hAnsi="宋体"/>
          <w:b/>
        </w:rPr>
        <w:t>ICD-O-3</w:t>
      </w:r>
      <w:r>
        <w:rPr>
          <w:rFonts w:hint="eastAsia"/>
          <w:b/>
        </w:rPr>
        <w:t>：</w:t>
      </w:r>
      <w:r>
        <w:rPr>
          <w:rFonts w:ascii="宋体" w:hAnsi="宋体" w:hint="eastAsia"/>
        </w:rPr>
        <w:t>指《国际疾病分类肿瘤学专辑》第三版（ICD-O-3），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footnote>
  <w:footnote w:id="36">
    <w:p w14:paraId="0B097218"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rPr>
        <w:t xml:space="preserve"> </w:t>
      </w:r>
      <w:r>
        <w:rPr>
          <w:rFonts w:ascii="宋体" w:hAnsi="宋体"/>
          <w:b/>
        </w:rPr>
        <w:t>TNM</w:t>
      </w:r>
      <w:r>
        <w:rPr>
          <w:rFonts w:ascii="宋体" w:hAnsi="宋体" w:hint="eastAsia"/>
          <w:b/>
        </w:rPr>
        <w:t>分期：</w:t>
      </w:r>
      <w:r>
        <w:rPr>
          <w:rFonts w:ascii="宋体" w:hAnsi="宋体"/>
        </w:rPr>
        <w:t>TNM</w:t>
      </w:r>
      <w:r>
        <w:rPr>
          <w:rFonts w:ascii="宋体" w:hAnsi="宋体" w:hint="eastAsia"/>
        </w:rPr>
        <w:t>分期采用</w:t>
      </w:r>
      <w:r>
        <w:rPr>
          <w:rFonts w:ascii="宋体" w:hAnsi="宋体"/>
        </w:rPr>
        <w:t>AJCC</w:t>
      </w:r>
      <w:r>
        <w:rPr>
          <w:rFonts w:ascii="宋体" w:hAnsi="宋体" w:hint="eastAsia"/>
        </w:rPr>
        <w:t>癌症分期手册标准。该标准由美国癌症联合委员会与国际抗癌联合会</w:t>
      </w:r>
      <w:r>
        <w:rPr>
          <w:rFonts w:ascii="宋体" w:hAnsi="宋体"/>
        </w:rPr>
        <w:t>TNM</w:t>
      </w:r>
      <w:r>
        <w:rPr>
          <w:rFonts w:ascii="宋体" w:hAnsi="宋体" w:hint="eastAsia"/>
        </w:rPr>
        <w:t>委员会联合制定，是目前肿瘤医学分期的国际通用标准。</w:t>
      </w:r>
      <w:r>
        <w:rPr>
          <w:rFonts w:ascii="宋体" w:hAnsi="宋体"/>
        </w:rPr>
        <w:t>T</w:t>
      </w:r>
      <w:r>
        <w:rPr>
          <w:rFonts w:ascii="宋体" w:hAnsi="宋体" w:hint="eastAsia"/>
        </w:rPr>
        <w:t>指原发肿瘤的大小、形态等；</w:t>
      </w:r>
      <w:r>
        <w:rPr>
          <w:rFonts w:ascii="宋体" w:hAnsi="宋体"/>
        </w:rPr>
        <w:t>N</w:t>
      </w:r>
      <w:r>
        <w:rPr>
          <w:rFonts w:ascii="宋体" w:hAnsi="宋体" w:hint="eastAsia"/>
        </w:rPr>
        <w:t>指淋巴结的转移情况；</w:t>
      </w:r>
      <w:r>
        <w:rPr>
          <w:rFonts w:ascii="宋体" w:hAnsi="宋体"/>
        </w:rPr>
        <w:t>M</w:t>
      </w:r>
      <w:r>
        <w:rPr>
          <w:rFonts w:ascii="宋体" w:hAnsi="宋体" w:hint="eastAsia"/>
        </w:rPr>
        <w:t>指有无其他脏器的转移情况。</w:t>
      </w:r>
    </w:p>
    <w:p w14:paraId="046ACA21" w14:textId="77777777" w:rsidR="00B90481" w:rsidRDefault="00B90481">
      <w:pPr>
        <w:pStyle w:val="ab"/>
        <w:ind w:leftChars="100" w:left="210"/>
        <w:rPr>
          <w:rFonts w:ascii="宋体" w:hAnsi="宋体"/>
        </w:rPr>
      </w:pPr>
      <w:r>
        <w:rPr>
          <w:rFonts w:ascii="宋体" w:hAnsi="宋体"/>
        </w:rPr>
        <w:t>甲状腺癌的</w:t>
      </w:r>
      <w:r>
        <w:rPr>
          <w:rFonts w:ascii="宋体" w:hAnsi="宋体" w:hint="eastAsia"/>
        </w:rPr>
        <w:t>T</w:t>
      </w:r>
      <w:r>
        <w:rPr>
          <w:rFonts w:ascii="宋体" w:hAnsi="宋体"/>
        </w:rPr>
        <w:t>NM分期</w:t>
      </w:r>
      <w:r>
        <w:rPr>
          <w:rFonts w:ascii="宋体" w:hAnsi="宋体" w:hint="eastAsia"/>
        </w:rPr>
        <w:t>：</w:t>
      </w:r>
      <w:r>
        <w:rPr>
          <w:rFonts w:ascii="宋体" w:hAnsi="宋体"/>
        </w:rPr>
        <w:t>甲状腺癌的TNM分期采用目前现行的</w:t>
      </w:r>
      <w:r>
        <w:rPr>
          <w:rFonts w:ascii="宋体" w:hAnsi="宋体" w:hint="eastAsia"/>
        </w:rPr>
        <w:t>A</w:t>
      </w:r>
      <w:r>
        <w:rPr>
          <w:rFonts w:ascii="宋体" w:hAnsi="宋体"/>
        </w:rPr>
        <w:t>JCC第八版定义标准</w:t>
      </w:r>
      <w:r>
        <w:rPr>
          <w:rFonts w:ascii="宋体" w:hAnsi="宋体" w:hint="eastAsia"/>
        </w:rPr>
        <w:t>，</w:t>
      </w:r>
      <w:r>
        <w:rPr>
          <w:rFonts w:ascii="宋体" w:hAnsi="宋体"/>
        </w:rPr>
        <w:t>我国国家卫生健康委员会</w:t>
      </w:r>
      <w:r>
        <w:rPr>
          <w:rFonts w:ascii="宋体" w:hAnsi="宋体" w:hint="eastAsia"/>
        </w:rPr>
        <w:t>2</w:t>
      </w:r>
      <w:r>
        <w:rPr>
          <w:rFonts w:ascii="宋体" w:hAnsi="宋体"/>
        </w:rPr>
        <w:t>018年发布的</w:t>
      </w:r>
      <w:r>
        <w:rPr>
          <w:rFonts w:ascii="宋体" w:hAnsi="宋体" w:hint="eastAsia"/>
        </w:rPr>
        <w:t>《甲状腺癌诊疗规范（2</w:t>
      </w:r>
      <w:r>
        <w:rPr>
          <w:rFonts w:ascii="宋体" w:hAnsi="宋体"/>
        </w:rPr>
        <w:t>018年版</w:t>
      </w:r>
      <w:r>
        <w:rPr>
          <w:rFonts w:ascii="宋体" w:hAnsi="宋体" w:hint="eastAsia"/>
        </w:rPr>
        <w:t>）》也采用此定义标准，具体见附表三。</w:t>
      </w:r>
    </w:p>
  </w:footnote>
  <w:footnote w:id="37">
    <w:p w14:paraId="0FD90B70"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b/>
        </w:rPr>
        <w:t xml:space="preserve"> </w:t>
      </w:r>
      <w:r>
        <w:rPr>
          <w:rFonts w:ascii="宋体" w:hAnsi="宋体" w:hint="eastAsia"/>
          <w:b/>
        </w:rPr>
        <w:t>肢体：</w:t>
      </w:r>
      <w:r>
        <w:rPr>
          <w:rFonts w:ascii="宋体" w:hAnsi="宋体" w:hint="eastAsia"/>
        </w:rPr>
        <w:t xml:space="preserve">肢体是指包括肩关节的整个上肢或包括髋关节的整个下肢。 </w:t>
      </w:r>
    </w:p>
  </w:footnote>
  <w:footnote w:id="38">
    <w:p w14:paraId="14988B0D" w14:textId="77777777" w:rsidR="00B90481" w:rsidRDefault="00B90481">
      <w:pPr>
        <w:pStyle w:val="ab"/>
        <w:ind w:left="202" w:hangingChars="112" w:hanging="202"/>
        <w:rPr>
          <w:rFonts w:ascii="宋体" w:hAnsi="宋体"/>
        </w:rPr>
      </w:pPr>
      <w:r>
        <w:rPr>
          <w:rStyle w:val="af3"/>
          <w:rFonts w:ascii="宋体" w:hAnsi="宋体"/>
          <w:b/>
        </w:rPr>
        <w:footnoteRef/>
      </w:r>
      <w:r>
        <w:rPr>
          <w:rFonts w:ascii="宋体" w:hAnsi="宋体"/>
          <w:b/>
        </w:rPr>
        <w:t xml:space="preserve"> </w:t>
      </w:r>
      <w:r>
        <w:rPr>
          <w:rFonts w:ascii="宋体" w:hAnsi="宋体" w:hint="eastAsia"/>
          <w:b/>
        </w:rPr>
        <w:t>肌力：</w:t>
      </w:r>
      <w:r>
        <w:rPr>
          <w:rFonts w:ascii="宋体" w:hAnsi="宋体" w:hint="eastAsia"/>
        </w:rPr>
        <w:t>指肌肉收缩时的力量。肌力划分为0-5级，具体为：</w:t>
      </w:r>
    </w:p>
    <w:p w14:paraId="3B1B3083" w14:textId="77777777" w:rsidR="00B90481" w:rsidRDefault="00B90481">
      <w:pPr>
        <w:pStyle w:val="ab"/>
        <w:ind w:firstLineChars="112" w:firstLine="202"/>
        <w:rPr>
          <w:rFonts w:ascii="宋体" w:hAnsi="宋体"/>
        </w:rPr>
      </w:pPr>
      <w:r>
        <w:rPr>
          <w:rFonts w:ascii="宋体" w:hAnsi="宋体" w:hint="eastAsia"/>
        </w:rPr>
        <w:t>0级：肌肉完全瘫痪，毫无收缩。</w:t>
      </w:r>
    </w:p>
    <w:p w14:paraId="1D20F3AC" w14:textId="77777777" w:rsidR="00B90481" w:rsidRDefault="00B90481">
      <w:pPr>
        <w:pStyle w:val="ab"/>
        <w:ind w:firstLineChars="112" w:firstLine="202"/>
        <w:rPr>
          <w:rFonts w:ascii="宋体" w:hAnsi="宋体"/>
        </w:rPr>
      </w:pPr>
      <w:r>
        <w:rPr>
          <w:rFonts w:ascii="宋体" w:hAnsi="宋体" w:hint="eastAsia"/>
        </w:rPr>
        <w:t>1级：可看到或者触及肌肉轻微收缩，但不能产生动作。</w:t>
      </w:r>
    </w:p>
    <w:p w14:paraId="1430DE69" w14:textId="77777777" w:rsidR="00B90481" w:rsidRDefault="00B90481">
      <w:pPr>
        <w:pStyle w:val="ab"/>
        <w:ind w:firstLineChars="112" w:firstLine="202"/>
        <w:rPr>
          <w:rFonts w:ascii="宋体" w:hAnsi="宋体"/>
        </w:rPr>
      </w:pPr>
      <w:r>
        <w:rPr>
          <w:rFonts w:ascii="宋体" w:hAnsi="宋体" w:hint="eastAsia"/>
        </w:rPr>
        <w:t>2级：肌肉在不受重力影响下，可进行运动，即肢体能在床面上移动，但不能抬高。</w:t>
      </w:r>
    </w:p>
    <w:p w14:paraId="31D11C37" w14:textId="77777777" w:rsidR="00B90481" w:rsidRDefault="00B90481">
      <w:pPr>
        <w:pStyle w:val="ab"/>
        <w:ind w:firstLineChars="112" w:firstLine="202"/>
        <w:rPr>
          <w:rFonts w:ascii="宋体" w:hAnsi="宋体"/>
        </w:rPr>
      </w:pPr>
      <w:r>
        <w:rPr>
          <w:rFonts w:ascii="宋体" w:hAnsi="宋体" w:hint="eastAsia"/>
        </w:rPr>
        <w:t>3级：在和地心引力相反的方向中尚能完成其动作，但不能对抗外加阻力。</w:t>
      </w:r>
    </w:p>
    <w:p w14:paraId="3E343B0E" w14:textId="77777777" w:rsidR="00B90481" w:rsidRDefault="00B90481">
      <w:pPr>
        <w:pStyle w:val="ab"/>
        <w:ind w:firstLineChars="112" w:firstLine="202"/>
        <w:rPr>
          <w:rFonts w:ascii="宋体" w:hAnsi="宋体"/>
        </w:rPr>
      </w:pPr>
      <w:r>
        <w:rPr>
          <w:rFonts w:ascii="宋体" w:hAnsi="宋体" w:hint="eastAsia"/>
        </w:rPr>
        <w:t>4级：能对抗一定的阻力，但较正常人为低。</w:t>
      </w:r>
    </w:p>
    <w:p w14:paraId="74CA5017" w14:textId="77777777" w:rsidR="00B90481" w:rsidRDefault="00B90481">
      <w:pPr>
        <w:pStyle w:val="ab"/>
        <w:ind w:firstLineChars="112" w:firstLine="202"/>
        <w:rPr>
          <w:rFonts w:ascii="宋体" w:hAnsi="宋体"/>
        </w:rPr>
      </w:pPr>
      <w:r>
        <w:rPr>
          <w:rFonts w:ascii="宋体" w:hAnsi="宋体" w:hint="eastAsia"/>
        </w:rPr>
        <w:t>5级：正常肌力。</w:t>
      </w:r>
    </w:p>
  </w:footnote>
  <w:footnote w:id="39">
    <w:p w14:paraId="106F718D" w14:textId="77777777" w:rsidR="00B90481" w:rsidRDefault="00B90481">
      <w:pPr>
        <w:pStyle w:val="ab"/>
        <w:rPr>
          <w:rFonts w:ascii="宋体" w:hAnsi="宋体"/>
        </w:rPr>
      </w:pPr>
      <w:r>
        <w:rPr>
          <w:rStyle w:val="af3"/>
          <w:rFonts w:ascii="宋体" w:hAnsi="宋体"/>
          <w:b/>
        </w:rPr>
        <w:footnoteRef/>
      </w:r>
      <w:r>
        <w:rPr>
          <w:rFonts w:ascii="宋体" w:hAnsi="宋体"/>
          <w:b/>
        </w:rPr>
        <w:t xml:space="preserve"> </w:t>
      </w:r>
      <w:r>
        <w:rPr>
          <w:rFonts w:ascii="宋体" w:hAnsi="宋体" w:hint="eastAsia"/>
          <w:b/>
        </w:rPr>
        <w:t>六项基本日常生活活动：</w:t>
      </w:r>
      <w:r>
        <w:rPr>
          <w:rFonts w:ascii="宋体" w:hAnsi="宋体" w:hint="eastAsia"/>
        </w:rPr>
        <w:t>六项基本日常生活活动是指：</w:t>
      </w:r>
    </w:p>
    <w:p w14:paraId="1E63F6FB" w14:textId="77777777" w:rsidR="00B90481" w:rsidRDefault="00B90481">
      <w:pPr>
        <w:pStyle w:val="ab"/>
        <w:ind w:firstLineChars="112" w:firstLine="202"/>
        <w:rPr>
          <w:rFonts w:ascii="宋体" w:hAnsi="宋体"/>
        </w:rPr>
      </w:pPr>
      <w:r>
        <w:rPr>
          <w:rFonts w:ascii="宋体" w:hAnsi="宋体" w:hint="eastAsia"/>
        </w:rPr>
        <w:t>（1）穿衣：自己能够穿衣及脱衣；</w:t>
      </w:r>
    </w:p>
    <w:p w14:paraId="7C06BCF8" w14:textId="77777777" w:rsidR="00B90481" w:rsidRDefault="00B90481">
      <w:pPr>
        <w:pStyle w:val="ab"/>
        <w:ind w:firstLineChars="112" w:firstLine="202"/>
        <w:rPr>
          <w:rFonts w:ascii="宋体" w:hAnsi="宋体"/>
        </w:rPr>
      </w:pPr>
      <w:r>
        <w:rPr>
          <w:rFonts w:ascii="宋体" w:hAnsi="宋体" w:hint="eastAsia"/>
        </w:rPr>
        <w:t>（2）移动：自己从一个房间到另一个房间；</w:t>
      </w:r>
    </w:p>
    <w:p w14:paraId="298C625E" w14:textId="77777777" w:rsidR="00B90481" w:rsidRDefault="00B90481">
      <w:pPr>
        <w:pStyle w:val="ab"/>
        <w:ind w:firstLineChars="112" w:firstLine="202"/>
        <w:rPr>
          <w:rFonts w:ascii="宋体" w:hAnsi="宋体"/>
        </w:rPr>
      </w:pPr>
      <w:r>
        <w:rPr>
          <w:rFonts w:ascii="宋体" w:hAnsi="宋体" w:hint="eastAsia"/>
        </w:rPr>
        <w:t>（3）行动：自己上下床或上下轮椅；</w:t>
      </w:r>
    </w:p>
    <w:p w14:paraId="09A675C3" w14:textId="77777777" w:rsidR="00B90481" w:rsidRDefault="00B90481">
      <w:pPr>
        <w:pStyle w:val="ab"/>
        <w:ind w:firstLineChars="112" w:firstLine="202"/>
        <w:rPr>
          <w:rFonts w:ascii="宋体" w:hAnsi="宋体"/>
        </w:rPr>
      </w:pPr>
      <w:r>
        <w:rPr>
          <w:rFonts w:ascii="宋体" w:hAnsi="宋体" w:hint="eastAsia"/>
        </w:rPr>
        <w:t>（4）如厕：自己控制进行大小便；</w:t>
      </w:r>
    </w:p>
    <w:p w14:paraId="52006380" w14:textId="77777777" w:rsidR="00B90481" w:rsidRDefault="00B90481">
      <w:pPr>
        <w:pStyle w:val="ab"/>
        <w:ind w:firstLineChars="112" w:firstLine="202"/>
        <w:rPr>
          <w:rFonts w:ascii="宋体" w:hAnsi="宋体"/>
        </w:rPr>
      </w:pPr>
      <w:r>
        <w:rPr>
          <w:rFonts w:ascii="宋体" w:hAnsi="宋体" w:hint="eastAsia"/>
        </w:rPr>
        <w:t>（5）进食：自己从已准备好的碗或碟中取食物放入口中；</w:t>
      </w:r>
    </w:p>
    <w:p w14:paraId="73F5FF09" w14:textId="77777777" w:rsidR="00B90481" w:rsidRDefault="00B90481">
      <w:pPr>
        <w:pStyle w:val="ab"/>
        <w:ind w:firstLineChars="112" w:firstLine="202"/>
        <w:rPr>
          <w:rFonts w:ascii="宋体" w:hAnsi="宋体"/>
        </w:rPr>
      </w:pPr>
      <w:r>
        <w:rPr>
          <w:rFonts w:ascii="宋体" w:hAnsi="宋体" w:hint="eastAsia"/>
        </w:rPr>
        <w:t>（6）洗澡：自己进行淋浴或盆浴。</w:t>
      </w:r>
    </w:p>
    <w:p w14:paraId="3F45FECC" w14:textId="77777777" w:rsidR="00B90481" w:rsidRDefault="00B90481">
      <w:pPr>
        <w:pStyle w:val="ab"/>
        <w:ind w:firstLineChars="112" w:firstLine="202"/>
        <w:rPr>
          <w:rFonts w:ascii="宋体" w:hAnsi="宋体"/>
        </w:rPr>
      </w:pPr>
      <w:r w:rsidRPr="003B685F">
        <w:rPr>
          <w:rFonts w:ascii="宋体" w:hAnsi="宋体" w:hint="eastAsia"/>
          <w:shd w:val="pct15" w:color="auto" w:fill="FFFFFF"/>
        </w:rPr>
        <w:t>六项基本日常生活活动能力的鉴定不适用于</w:t>
      </w:r>
      <w:r w:rsidRPr="003B685F">
        <w:rPr>
          <w:rFonts w:ascii="宋体" w:hAnsi="宋体"/>
          <w:shd w:val="pct15" w:color="auto" w:fill="FFFFFF"/>
        </w:rPr>
        <w:t>0-3</w:t>
      </w:r>
      <w:r w:rsidRPr="003B685F">
        <w:rPr>
          <w:rFonts w:ascii="宋体" w:hAnsi="宋体" w:hint="eastAsia"/>
          <w:shd w:val="pct15" w:color="auto" w:fill="FFFFFF"/>
        </w:rPr>
        <w:t>周岁幼儿。</w:t>
      </w:r>
    </w:p>
  </w:footnote>
  <w:footnote w:id="40">
    <w:p w14:paraId="7B4C9BC4" w14:textId="77777777" w:rsidR="00B90481" w:rsidRDefault="00B90481">
      <w:pPr>
        <w:pStyle w:val="ab"/>
      </w:pPr>
      <w:r>
        <w:rPr>
          <w:rStyle w:val="af3"/>
          <w:b/>
          <w:bCs/>
        </w:rPr>
        <w:footnoteRef/>
      </w:r>
      <w:r>
        <w:t xml:space="preserve"> </w:t>
      </w:r>
      <w:r>
        <w:rPr>
          <w:rFonts w:hint="eastAsia"/>
          <w:b/>
        </w:rPr>
        <w:t>永久不可逆</w:t>
      </w:r>
      <w:r>
        <w:t>：</w:t>
      </w:r>
      <w:r>
        <w:rPr>
          <w:rFonts w:ascii="宋体" w:hAnsi="宋体" w:hint="eastAsia"/>
        </w:rPr>
        <w:t>指自疾病确诊或意外伤害发生之日起，经过积极治疗180天后，仍无法通过现有医疗手段恢复。</w:t>
      </w:r>
    </w:p>
  </w:footnote>
  <w:footnote w:id="41">
    <w:p w14:paraId="4500AF3B" w14:textId="77777777" w:rsidR="00B90481" w:rsidRDefault="00B90481">
      <w:pPr>
        <w:pStyle w:val="ab"/>
        <w:ind w:left="202" w:hangingChars="112" w:hanging="202"/>
      </w:pPr>
      <w:r>
        <w:rPr>
          <w:rStyle w:val="af3"/>
          <w:b/>
          <w:bCs/>
        </w:rPr>
        <w:footnoteRef/>
      </w:r>
      <w:r>
        <w:t xml:space="preserve"> </w:t>
      </w:r>
      <w:r>
        <w:rPr>
          <w:rFonts w:hint="eastAsia"/>
          <w:b/>
        </w:rPr>
        <w:t>面部</w:t>
      </w:r>
      <w:r>
        <w:rPr>
          <w:rFonts w:hint="eastAsia"/>
        </w:rPr>
        <w:t>：面部的范围指上至发际、下至下颌下缘、两侧至下颌支后缘之间的区域，包括额部、眼部、眶部、鼻部、口唇部、颏部、颧部、颊部和腮腺咬肌部。</w:t>
      </w:r>
    </w:p>
  </w:footnote>
  <w:footnote w:id="42">
    <w:p w14:paraId="464F3C2E" w14:textId="77777777" w:rsidR="00B90481" w:rsidRDefault="00B90481">
      <w:pPr>
        <w:pStyle w:val="ab"/>
        <w:ind w:left="202" w:hangingChars="112" w:hanging="202"/>
        <w:rPr>
          <w:rFonts w:ascii="宋体" w:hAnsi="宋体"/>
        </w:rPr>
      </w:pPr>
      <w:r>
        <w:rPr>
          <w:rStyle w:val="af3"/>
          <w:rFonts w:ascii="宋体" w:hAnsi="宋体"/>
          <w:b/>
        </w:rPr>
        <w:footnoteRef/>
      </w:r>
      <w:r>
        <w:rPr>
          <w:rStyle w:val="af3"/>
          <w:rFonts w:ascii="宋体" w:hAnsi="宋体"/>
        </w:rPr>
        <w:t xml:space="preserve"> </w:t>
      </w:r>
      <w:r>
        <w:rPr>
          <w:rFonts w:ascii="宋体" w:hAnsi="宋体" w:hint="eastAsia"/>
          <w:b/>
        </w:rPr>
        <w:t>美国纽约心脏病学会（New</w:t>
      </w:r>
      <w:r>
        <w:rPr>
          <w:rFonts w:ascii="宋体" w:hAnsi="宋体"/>
          <w:b/>
        </w:rPr>
        <w:t xml:space="preserve"> York Heart </w:t>
      </w:r>
      <w:r>
        <w:rPr>
          <w:rFonts w:ascii="宋体" w:hAnsi="宋体" w:hint="eastAsia"/>
          <w:b/>
        </w:rPr>
        <w:t>Association，NYHA）心功能状态分级：</w:t>
      </w:r>
      <w:r>
        <w:rPr>
          <w:rFonts w:ascii="宋体" w:hAnsi="宋体" w:hint="eastAsia"/>
        </w:rPr>
        <w:t>美国纽约心脏病学会（New York Heart Association，NYHA）将心功能状态分为四级：</w:t>
      </w:r>
    </w:p>
    <w:p w14:paraId="68C49111" w14:textId="77777777" w:rsidR="00B90481" w:rsidRDefault="00B90481">
      <w:pPr>
        <w:pStyle w:val="ab"/>
        <w:ind w:firstLineChars="112" w:firstLine="202"/>
        <w:rPr>
          <w:rFonts w:ascii="宋体" w:hAnsi="宋体"/>
        </w:rPr>
      </w:pPr>
      <w:r>
        <w:rPr>
          <w:rFonts w:ascii="宋体" w:hAnsi="宋体" w:hint="eastAsia"/>
        </w:rPr>
        <w:t>Ⅰ级：心脏病病人日常活动量不受限制，一般活动不引起乏力、呼吸困难等心衰症状。</w:t>
      </w:r>
    </w:p>
    <w:p w14:paraId="57FE29A4" w14:textId="77777777" w:rsidR="00B90481" w:rsidRDefault="00B90481">
      <w:pPr>
        <w:pStyle w:val="ab"/>
        <w:ind w:firstLineChars="112" w:firstLine="202"/>
        <w:rPr>
          <w:rFonts w:ascii="宋体" w:hAnsi="宋体"/>
        </w:rPr>
      </w:pPr>
      <w:r>
        <w:rPr>
          <w:rFonts w:ascii="宋体" w:hAnsi="宋体" w:hint="eastAsia"/>
        </w:rPr>
        <w:t>Ⅱ级：心脏病病人体力活动轻度受限制，休息时无自觉症状，一般活动下可出现心衰症状。</w:t>
      </w:r>
    </w:p>
    <w:p w14:paraId="4C906B11" w14:textId="77777777" w:rsidR="00B90481" w:rsidRDefault="00B90481">
      <w:pPr>
        <w:pStyle w:val="ab"/>
        <w:ind w:firstLineChars="112" w:firstLine="202"/>
        <w:rPr>
          <w:rFonts w:ascii="宋体" w:hAnsi="宋体"/>
        </w:rPr>
      </w:pPr>
      <w:r>
        <w:rPr>
          <w:rFonts w:ascii="宋体" w:hAnsi="宋体" w:hint="eastAsia"/>
        </w:rPr>
        <w:t>Ⅲ级：心脏病病人体力活动明显受限，低于平时一般活动即引起心衰症状。</w:t>
      </w:r>
    </w:p>
    <w:p w14:paraId="5B6859FE" w14:textId="77777777" w:rsidR="00B90481" w:rsidRDefault="00B90481">
      <w:pPr>
        <w:pStyle w:val="ab"/>
        <w:ind w:firstLineChars="112" w:firstLine="202"/>
        <w:rPr>
          <w:rFonts w:ascii="宋体" w:hAnsi="宋体"/>
        </w:rPr>
      </w:pPr>
      <w:r>
        <w:rPr>
          <w:rFonts w:ascii="宋体" w:hAnsi="宋体" w:hint="eastAsia"/>
        </w:rPr>
        <w:t>Ⅳ级：心脏病病人不能从事任何体力活动，休息状态下也存在心衰症状，活动后加重。</w:t>
      </w:r>
    </w:p>
  </w:footnote>
  <w:footnote w:id="43">
    <w:p w14:paraId="4D5157EA" w14:textId="77777777" w:rsidR="00B90481" w:rsidRDefault="00B90481">
      <w:pPr>
        <w:pStyle w:val="ab"/>
        <w:ind w:left="202" w:hangingChars="112" w:hanging="202"/>
        <w:rPr>
          <w:rFonts w:ascii="宋体" w:hAnsi="宋体"/>
          <w:color w:val="000000"/>
        </w:rPr>
      </w:pPr>
      <w:r>
        <w:rPr>
          <w:rStyle w:val="af3"/>
          <w:rFonts w:ascii="宋体" w:hAnsi="宋体"/>
          <w:b/>
        </w:rPr>
        <w:footnoteRef/>
      </w:r>
      <w:r>
        <w:rPr>
          <w:rFonts w:ascii="宋体" w:hAnsi="宋体" w:hint="eastAsia"/>
          <w:b/>
          <w:color w:val="000000"/>
        </w:rPr>
        <w:t xml:space="preserve"> 语言能力完全丧失，或严重咀嚼吞咽功能障碍</w:t>
      </w:r>
      <w:r>
        <w:rPr>
          <w:rFonts w:ascii="宋体" w:hAnsi="宋体" w:hint="eastAsia"/>
          <w:color w:val="000000"/>
        </w:rPr>
        <w:t>：语言能力完全丧失，指无法发出四种语音（包括口唇音、齿舌音、口盖音和喉头音）中的任何三种、或声带全部切除，或因大脑语言中枢受伤害而患失语症。严重咀嚼吞咽功能障碍，指因牙齿以外的原因导致器质障碍或机能障碍，以致不能作咀嚼吞咽运动，除流质食物外不能摄取或吞咽的状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1BFF" w14:textId="77777777" w:rsidR="00B90481" w:rsidRDefault="00B90481">
    <w:pPr>
      <w:pStyle w:val="aa"/>
      <w:tabs>
        <w:tab w:val="clear" w:pos="4153"/>
        <w:tab w:val="clear" w:pos="8306"/>
        <w:tab w:val="right" w:pos="9781"/>
      </w:tabs>
      <w:wordWrap w:val="0"/>
      <w:ind w:right="-59"/>
      <w:rPr>
        <w:rFonts w:ascii="宋体" w:hAnsi="宋体"/>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B8EB" w14:textId="77777777" w:rsidR="00B90481" w:rsidRDefault="00B90481">
    <w:pPr>
      <w:pStyle w:val="aa"/>
      <w:tabs>
        <w:tab w:val="clear" w:pos="4153"/>
        <w:tab w:val="clear" w:pos="8306"/>
        <w:tab w:val="right" w:pos="8958"/>
      </w:tabs>
      <w:wordWrap w:val="0"/>
      <w:jc w:val="right"/>
      <w:rPr>
        <w:rFonts w:ascii="宋体" w:hAnsi="宋体"/>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39398" w14:textId="77777777" w:rsidR="00B90481" w:rsidRDefault="00B90481">
    <w:pPr>
      <w:pStyle w:val="aa"/>
      <w:tabs>
        <w:tab w:val="clear" w:pos="4153"/>
        <w:tab w:val="clear" w:pos="8306"/>
        <w:tab w:val="right" w:pos="8958"/>
      </w:tabs>
      <w:wordWrap w:val="0"/>
      <w:jc w:val="right"/>
      <w:rPr>
        <w:rFonts w:ascii="宋体" w:hAnsi="宋体"/>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0050"/>
    <w:multiLevelType w:val="multilevel"/>
    <w:tmpl w:val="17500050"/>
    <w:lvl w:ilvl="0">
      <w:start w:val="1"/>
      <w:numFmt w:val="chineseCountingThousand"/>
      <w:pStyle w:val="a"/>
      <w:lvlText w:val="第%1条"/>
      <w:lvlJc w:val="left"/>
      <w:pPr>
        <w:tabs>
          <w:tab w:val="left" w:pos="2547"/>
        </w:tabs>
        <w:ind w:left="2547" w:hanging="420"/>
      </w:pPr>
      <w:rPr>
        <w:rFonts w:hint="eastAsia"/>
        <w:b/>
      </w:rPr>
    </w:lvl>
    <w:lvl w:ilvl="1">
      <w:start w:val="5"/>
      <w:numFmt w:val="decimal"/>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E391D91"/>
    <w:multiLevelType w:val="multilevel"/>
    <w:tmpl w:val="1E391D91"/>
    <w:lvl w:ilvl="0">
      <w:start w:val="1"/>
      <w:numFmt w:val="chineseCountingThousand"/>
      <w:lvlText w:val="%1、"/>
      <w:lvlJc w:val="left"/>
      <w:pPr>
        <w:ind w:left="840" w:hanging="420"/>
      </w:pPr>
    </w:lvl>
    <w:lvl w:ilvl="1">
      <w:start w:val="1"/>
      <w:numFmt w:val="lowerLetter"/>
      <w:lvlText w:val="%2)"/>
      <w:lvlJc w:val="left"/>
      <w:pPr>
        <w:ind w:left="545" w:hanging="420"/>
      </w:pPr>
    </w:lvl>
    <w:lvl w:ilvl="2">
      <w:start w:val="1"/>
      <w:numFmt w:val="lowerRoman"/>
      <w:lvlText w:val="%3."/>
      <w:lvlJc w:val="right"/>
      <w:pPr>
        <w:ind w:left="965" w:hanging="420"/>
      </w:pPr>
    </w:lvl>
    <w:lvl w:ilvl="3">
      <w:start w:val="1"/>
      <w:numFmt w:val="decimal"/>
      <w:lvlText w:val="%4."/>
      <w:lvlJc w:val="left"/>
      <w:pPr>
        <w:ind w:left="1385" w:hanging="420"/>
      </w:pPr>
    </w:lvl>
    <w:lvl w:ilvl="4">
      <w:start w:val="1"/>
      <w:numFmt w:val="lowerLetter"/>
      <w:lvlText w:val="%5)"/>
      <w:lvlJc w:val="left"/>
      <w:pPr>
        <w:ind w:left="1805" w:hanging="420"/>
      </w:pPr>
    </w:lvl>
    <w:lvl w:ilvl="5">
      <w:start w:val="1"/>
      <w:numFmt w:val="lowerRoman"/>
      <w:lvlText w:val="%6."/>
      <w:lvlJc w:val="right"/>
      <w:pPr>
        <w:ind w:left="2225" w:hanging="420"/>
      </w:pPr>
    </w:lvl>
    <w:lvl w:ilvl="6">
      <w:start w:val="1"/>
      <w:numFmt w:val="decimal"/>
      <w:lvlText w:val="%7."/>
      <w:lvlJc w:val="left"/>
      <w:pPr>
        <w:ind w:left="2645" w:hanging="420"/>
      </w:pPr>
    </w:lvl>
    <w:lvl w:ilvl="7">
      <w:start w:val="1"/>
      <w:numFmt w:val="lowerLetter"/>
      <w:lvlText w:val="%8)"/>
      <w:lvlJc w:val="left"/>
      <w:pPr>
        <w:ind w:left="3065" w:hanging="420"/>
      </w:pPr>
    </w:lvl>
    <w:lvl w:ilvl="8">
      <w:start w:val="1"/>
      <w:numFmt w:val="lowerRoman"/>
      <w:lvlText w:val="%9."/>
      <w:lvlJc w:val="right"/>
      <w:pPr>
        <w:ind w:left="3485" w:hanging="420"/>
      </w:pPr>
    </w:lvl>
  </w:abstractNum>
  <w:abstractNum w:abstractNumId="2">
    <w:nsid w:val="1F715774"/>
    <w:multiLevelType w:val="multilevel"/>
    <w:tmpl w:val="1F715774"/>
    <w:lvl w:ilvl="0">
      <w:start w:val="1"/>
      <w:numFmt w:val="chineseCountingThousand"/>
      <w:suff w:val="nothing"/>
      <w:lvlText w:val="%1、"/>
      <w:lvlJc w:val="left"/>
      <w:pPr>
        <w:ind w:left="2831" w:hanging="420"/>
      </w:pPr>
      <w:rPr>
        <w:rFonts w:hint="eastAsia"/>
      </w:rPr>
    </w:lvl>
    <w:lvl w:ilvl="1">
      <w:start w:val="1"/>
      <w:numFmt w:val="japaneseCounting"/>
      <w:lvlText w:val="%2、"/>
      <w:lvlJc w:val="left"/>
      <w:pPr>
        <w:ind w:left="988" w:hanging="420"/>
      </w:pPr>
      <w:rPr>
        <w:rFonts w:hint="default"/>
      </w:rPr>
    </w:lvl>
    <w:lvl w:ilvl="2">
      <w:start w:val="1"/>
      <w:numFmt w:val="lowerRoman"/>
      <w:lvlText w:val="%3."/>
      <w:lvlJc w:val="right"/>
      <w:pPr>
        <w:ind w:left="1347" w:hanging="420"/>
      </w:pPr>
    </w:lvl>
    <w:lvl w:ilvl="3">
      <w:start w:val="1"/>
      <w:numFmt w:val="decimal"/>
      <w:lvlText w:val="%4."/>
      <w:lvlJc w:val="left"/>
      <w:pPr>
        <w:ind w:left="1767" w:hanging="420"/>
      </w:pPr>
    </w:lvl>
    <w:lvl w:ilvl="4">
      <w:start w:val="1"/>
      <w:numFmt w:val="lowerLetter"/>
      <w:lvlText w:val="%5)"/>
      <w:lvlJc w:val="left"/>
      <w:pPr>
        <w:ind w:left="2187" w:hanging="420"/>
      </w:pPr>
    </w:lvl>
    <w:lvl w:ilvl="5">
      <w:start w:val="1"/>
      <w:numFmt w:val="lowerRoman"/>
      <w:lvlText w:val="%6."/>
      <w:lvlJc w:val="right"/>
      <w:pPr>
        <w:ind w:left="2607" w:hanging="420"/>
      </w:pPr>
    </w:lvl>
    <w:lvl w:ilvl="6">
      <w:start w:val="1"/>
      <w:numFmt w:val="decimal"/>
      <w:lvlText w:val="%7."/>
      <w:lvlJc w:val="left"/>
      <w:pPr>
        <w:ind w:left="3027" w:hanging="420"/>
      </w:pPr>
    </w:lvl>
    <w:lvl w:ilvl="7">
      <w:start w:val="1"/>
      <w:numFmt w:val="lowerLetter"/>
      <w:lvlText w:val="%8)"/>
      <w:lvlJc w:val="left"/>
      <w:pPr>
        <w:ind w:left="3447" w:hanging="420"/>
      </w:pPr>
    </w:lvl>
    <w:lvl w:ilvl="8">
      <w:start w:val="1"/>
      <w:numFmt w:val="lowerRoman"/>
      <w:lvlText w:val="%9."/>
      <w:lvlJc w:val="right"/>
      <w:pPr>
        <w:ind w:left="3867" w:hanging="420"/>
      </w:pPr>
    </w:lvl>
  </w:abstractNum>
  <w:abstractNum w:abstractNumId="3">
    <w:nsid w:val="5605500E"/>
    <w:multiLevelType w:val="multilevel"/>
    <w:tmpl w:val="5605500E"/>
    <w:lvl w:ilvl="0">
      <w:start w:val="1"/>
      <w:numFmt w:val="chineseCountingThousand"/>
      <w:suff w:val="nothing"/>
      <w:lvlText w:val="%1、"/>
      <w:lvlJc w:val="left"/>
      <w:pPr>
        <w:ind w:left="2831" w:hanging="420"/>
      </w:pPr>
      <w:rPr>
        <w:rFonts w:hint="eastAsia"/>
      </w:rPr>
    </w:lvl>
    <w:lvl w:ilvl="1">
      <w:start w:val="1"/>
      <w:numFmt w:val="japaneseCounting"/>
      <w:lvlText w:val="%2、"/>
      <w:lvlJc w:val="left"/>
      <w:pPr>
        <w:ind w:left="988" w:hanging="420"/>
      </w:pPr>
      <w:rPr>
        <w:rFonts w:hint="default"/>
      </w:rPr>
    </w:lvl>
    <w:lvl w:ilvl="2">
      <w:start w:val="1"/>
      <w:numFmt w:val="lowerRoman"/>
      <w:lvlText w:val="%3."/>
      <w:lvlJc w:val="right"/>
      <w:pPr>
        <w:ind w:left="1347" w:hanging="420"/>
      </w:pPr>
    </w:lvl>
    <w:lvl w:ilvl="3">
      <w:start w:val="1"/>
      <w:numFmt w:val="decimal"/>
      <w:lvlText w:val="%4."/>
      <w:lvlJc w:val="left"/>
      <w:pPr>
        <w:ind w:left="1767" w:hanging="420"/>
      </w:pPr>
    </w:lvl>
    <w:lvl w:ilvl="4">
      <w:start w:val="1"/>
      <w:numFmt w:val="lowerLetter"/>
      <w:lvlText w:val="%5)"/>
      <w:lvlJc w:val="left"/>
      <w:pPr>
        <w:ind w:left="2187" w:hanging="420"/>
      </w:pPr>
    </w:lvl>
    <w:lvl w:ilvl="5">
      <w:start w:val="1"/>
      <w:numFmt w:val="lowerRoman"/>
      <w:lvlText w:val="%6."/>
      <w:lvlJc w:val="right"/>
      <w:pPr>
        <w:ind w:left="2607" w:hanging="420"/>
      </w:pPr>
    </w:lvl>
    <w:lvl w:ilvl="6">
      <w:start w:val="1"/>
      <w:numFmt w:val="decimal"/>
      <w:lvlText w:val="%7."/>
      <w:lvlJc w:val="left"/>
      <w:pPr>
        <w:ind w:left="3027" w:hanging="420"/>
      </w:pPr>
    </w:lvl>
    <w:lvl w:ilvl="7">
      <w:start w:val="1"/>
      <w:numFmt w:val="lowerLetter"/>
      <w:lvlText w:val="%8)"/>
      <w:lvlJc w:val="left"/>
      <w:pPr>
        <w:ind w:left="3447" w:hanging="420"/>
      </w:pPr>
    </w:lvl>
    <w:lvl w:ilvl="8">
      <w:start w:val="1"/>
      <w:numFmt w:val="lowerRoman"/>
      <w:lvlText w:val="%9."/>
      <w:lvlJc w:val="right"/>
      <w:pPr>
        <w:ind w:left="3867" w:hanging="420"/>
      </w:pPr>
    </w:lvl>
  </w:abstractNum>
  <w:abstractNum w:abstractNumId="4">
    <w:nsid w:val="7B76250D"/>
    <w:multiLevelType w:val="multilevel"/>
    <w:tmpl w:val="7B76250D"/>
    <w:lvl w:ilvl="0">
      <w:start w:val="1"/>
      <w:numFmt w:val="chineseCountingThousand"/>
      <w:suff w:val="nothing"/>
      <w:lvlText w:val="%1、"/>
      <w:lvlJc w:val="left"/>
      <w:pPr>
        <w:ind w:left="704" w:hanging="420"/>
      </w:pPr>
      <w:rPr>
        <w:rFonts w:hint="eastAsia"/>
      </w:rPr>
    </w:lvl>
    <w:lvl w:ilvl="1">
      <w:start w:val="1"/>
      <w:numFmt w:val="japaneseCounting"/>
      <w:lvlText w:val="%2、"/>
      <w:lvlJc w:val="left"/>
      <w:pPr>
        <w:ind w:left="988" w:hanging="420"/>
      </w:pPr>
      <w:rPr>
        <w:rFonts w:hint="default"/>
      </w:rPr>
    </w:lvl>
    <w:lvl w:ilvl="2">
      <w:start w:val="1"/>
      <w:numFmt w:val="lowerRoman"/>
      <w:lvlText w:val="%3."/>
      <w:lvlJc w:val="right"/>
      <w:pPr>
        <w:ind w:left="1347" w:hanging="420"/>
      </w:pPr>
    </w:lvl>
    <w:lvl w:ilvl="3">
      <w:start w:val="1"/>
      <w:numFmt w:val="decimal"/>
      <w:lvlText w:val="%4."/>
      <w:lvlJc w:val="left"/>
      <w:pPr>
        <w:ind w:left="1767" w:hanging="420"/>
      </w:pPr>
    </w:lvl>
    <w:lvl w:ilvl="4">
      <w:start w:val="1"/>
      <w:numFmt w:val="lowerLetter"/>
      <w:lvlText w:val="%5)"/>
      <w:lvlJc w:val="left"/>
      <w:pPr>
        <w:ind w:left="2187" w:hanging="420"/>
      </w:pPr>
    </w:lvl>
    <w:lvl w:ilvl="5">
      <w:start w:val="1"/>
      <w:numFmt w:val="lowerRoman"/>
      <w:lvlText w:val="%6."/>
      <w:lvlJc w:val="right"/>
      <w:pPr>
        <w:ind w:left="2607" w:hanging="420"/>
      </w:pPr>
    </w:lvl>
    <w:lvl w:ilvl="6">
      <w:start w:val="1"/>
      <w:numFmt w:val="decimal"/>
      <w:lvlText w:val="%7."/>
      <w:lvlJc w:val="left"/>
      <w:pPr>
        <w:ind w:left="3027" w:hanging="420"/>
      </w:pPr>
    </w:lvl>
    <w:lvl w:ilvl="7">
      <w:start w:val="1"/>
      <w:numFmt w:val="lowerLetter"/>
      <w:lvlText w:val="%8)"/>
      <w:lvlJc w:val="left"/>
      <w:pPr>
        <w:ind w:left="3447" w:hanging="420"/>
      </w:pPr>
    </w:lvl>
    <w:lvl w:ilvl="8">
      <w:start w:val="1"/>
      <w:numFmt w:val="lowerRoman"/>
      <w:lvlText w:val="%9."/>
      <w:lvlJc w:val="right"/>
      <w:pPr>
        <w:ind w:left="3867" w:hanging="420"/>
      </w:pPr>
    </w:lvl>
  </w:abstractNum>
  <w:num w:numId="1">
    <w:abstractNumId w:val="0"/>
  </w:num>
  <w:num w:numId="2">
    <w:abstractNumId w:val="1"/>
  </w:num>
  <w:num w:numId="3">
    <w:abstractNumId w:val="3"/>
  </w:num>
  <w:num w:numId="4">
    <w:abstractNumId w:val="2"/>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MGI1Yjc0NzRjNTgyZGJmMjQ0N2IxMGJmZTk3ZDAifQ=="/>
  </w:docVars>
  <w:rsids>
    <w:rsidRoot w:val="00253E95"/>
    <w:rsid w:val="00000949"/>
    <w:rsid w:val="000009B0"/>
    <w:rsid w:val="00000C8B"/>
    <w:rsid w:val="00000CC0"/>
    <w:rsid w:val="00001103"/>
    <w:rsid w:val="0000118E"/>
    <w:rsid w:val="00001399"/>
    <w:rsid w:val="000014AC"/>
    <w:rsid w:val="000016A1"/>
    <w:rsid w:val="00001968"/>
    <w:rsid w:val="00001A9E"/>
    <w:rsid w:val="00001C02"/>
    <w:rsid w:val="00001C8A"/>
    <w:rsid w:val="00001D71"/>
    <w:rsid w:val="00002201"/>
    <w:rsid w:val="000026FE"/>
    <w:rsid w:val="0000273E"/>
    <w:rsid w:val="00002759"/>
    <w:rsid w:val="000028E3"/>
    <w:rsid w:val="00002A4A"/>
    <w:rsid w:val="00002BBF"/>
    <w:rsid w:val="00002D4D"/>
    <w:rsid w:val="00002D78"/>
    <w:rsid w:val="00003337"/>
    <w:rsid w:val="0000365E"/>
    <w:rsid w:val="000036E8"/>
    <w:rsid w:val="000037DF"/>
    <w:rsid w:val="00003802"/>
    <w:rsid w:val="00003D6A"/>
    <w:rsid w:val="00004532"/>
    <w:rsid w:val="000045C8"/>
    <w:rsid w:val="00004861"/>
    <w:rsid w:val="00004C1E"/>
    <w:rsid w:val="00005C1A"/>
    <w:rsid w:val="0000626C"/>
    <w:rsid w:val="00006B81"/>
    <w:rsid w:val="000071DA"/>
    <w:rsid w:val="000074AE"/>
    <w:rsid w:val="00007C24"/>
    <w:rsid w:val="00010156"/>
    <w:rsid w:val="000102DE"/>
    <w:rsid w:val="00010544"/>
    <w:rsid w:val="0001074E"/>
    <w:rsid w:val="0001087F"/>
    <w:rsid w:val="000108D3"/>
    <w:rsid w:val="00010C3F"/>
    <w:rsid w:val="00010DED"/>
    <w:rsid w:val="00010EFD"/>
    <w:rsid w:val="0001111B"/>
    <w:rsid w:val="0001154A"/>
    <w:rsid w:val="00011F4B"/>
    <w:rsid w:val="00012346"/>
    <w:rsid w:val="00012E00"/>
    <w:rsid w:val="0001350A"/>
    <w:rsid w:val="00013A5D"/>
    <w:rsid w:val="00013C05"/>
    <w:rsid w:val="00013D8C"/>
    <w:rsid w:val="00014089"/>
    <w:rsid w:val="000144C6"/>
    <w:rsid w:val="00014830"/>
    <w:rsid w:val="00014919"/>
    <w:rsid w:val="0001491B"/>
    <w:rsid w:val="000149E7"/>
    <w:rsid w:val="00014A07"/>
    <w:rsid w:val="00014AE7"/>
    <w:rsid w:val="00014D94"/>
    <w:rsid w:val="000150C0"/>
    <w:rsid w:val="00015601"/>
    <w:rsid w:val="00015888"/>
    <w:rsid w:val="00015955"/>
    <w:rsid w:val="00016996"/>
    <w:rsid w:val="000169BE"/>
    <w:rsid w:val="00016A15"/>
    <w:rsid w:val="00016A47"/>
    <w:rsid w:val="00016A49"/>
    <w:rsid w:val="00016A93"/>
    <w:rsid w:val="00016ACE"/>
    <w:rsid w:val="00016ADE"/>
    <w:rsid w:val="00016AE4"/>
    <w:rsid w:val="00016B5E"/>
    <w:rsid w:val="00016CC3"/>
    <w:rsid w:val="00016F83"/>
    <w:rsid w:val="00016FCD"/>
    <w:rsid w:val="000177C6"/>
    <w:rsid w:val="00017852"/>
    <w:rsid w:val="00017CBD"/>
    <w:rsid w:val="0002045B"/>
    <w:rsid w:val="00020B01"/>
    <w:rsid w:val="000210CE"/>
    <w:rsid w:val="0002128E"/>
    <w:rsid w:val="000219AB"/>
    <w:rsid w:val="0002275A"/>
    <w:rsid w:val="000227BE"/>
    <w:rsid w:val="000228A2"/>
    <w:rsid w:val="00022DBE"/>
    <w:rsid w:val="000230E0"/>
    <w:rsid w:val="00023322"/>
    <w:rsid w:val="00023563"/>
    <w:rsid w:val="00024384"/>
    <w:rsid w:val="00024AD4"/>
    <w:rsid w:val="00024CCA"/>
    <w:rsid w:val="0002538F"/>
    <w:rsid w:val="000253C4"/>
    <w:rsid w:val="000255EE"/>
    <w:rsid w:val="000257BF"/>
    <w:rsid w:val="00025AFF"/>
    <w:rsid w:val="00025EB3"/>
    <w:rsid w:val="00025EEC"/>
    <w:rsid w:val="00026909"/>
    <w:rsid w:val="00026ADF"/>
    <w:rsid w:val="00026BFA"/>
    <w:rsid w:val="00026FD0"/>
    <w:rsid w:val="00027365"/>
    <w:rsid w:val="000274E5"/>
    <w:rsid w:val="0002756B"/>
    <w:rsid w:val="0002762A"/>
    <w:rsid w:val="000277F8"/>
    <w:rsid w:val="000278BD"/>
    <w:rsid w:val="0002797B"/>
    <w:rsid w:val="00027B59"/>
    <w:rsid w:val="00027ED8"/>
    <w:rsid w:val="00027FD0"/>
    <w:rsid w:val="0003021F"/>
    <w:rsid w:val="000304D0"/>
    <w:rsid w:val="000306E1"/>
    <w:rsid w:val="00030979"/>
    <w:rsid w:val="00030A64"/>
    <w:rsid w:val="00031168"/>
    <w:rsid w:val="0003125C"/>
    <w:rsid w:val="00031503"/>
    <w:rsid w:val="000317A0"/>
    <w:rsid w:val="00031832"/>
    <w:rsid w:val="000318F8"/>
    <w:rsid w:val="00031993"/>
    <w:rsid w:val="00031AC3"/>
    <w:rsid w:val="00031EAE"/>
    <w:rsid w:val="000321DE"/>
    <w:rsid w:val="00032743"/>
    <w:rsid w:val="000329EB"/>
    <w:rsid w:val="000329F9"/>
    <w:rsid w:val="00032ADC"/>
    <w:rsid w:val="00032EBA"/>
    <w:rsid w:val="0003312E"/>
    <w:rsid w:val="0003375D"/>
    <w:rsid w:val="0003381D"/>
    <w:rsid w:val="00033B0A"/>
    <w:rsid w:val="00033C68"/>
    <w:rsid w:val="000346D2"/>
    <w:rsid w:val="00034A87"/>
    <w:rsid w:val="00034F2B"/>
    <w:rsid w:val="0003543E"/>
    <w:rsid w:val="00035952"/>
    <w:rsid w:val="00035976"/>
    <w:rsid w:val="000364E1"/>
    <w:rsid w:val="0003671B"/>
    <w:rsid w:val="000368E0"/>
    <w:rsid w:val="00037167"/>
    <w:rsid w:val="00037270"/>
    <w:rsid w:val="0003762B"/>
    <w:rsid w:val="000379AC"/>
    <w:rsid w:val="00037F13"/>
    <w:rsid w:val="000401EF"/>
    <w:rsid w:val="000404A6"/>
    <w:rsid w:val="00040695"/>
    <w:rsid w:val="00040A36"/>
    <w:rsid w:val="00040B74"/>
    <w:rsid w:val="00040BBB"/>
    <w:rsid w:val="00041533"/>
    <w:rsid w:val="00041766"/>
    <w:rsid w:val="0004199B"/>
    <w:rsid w:val="00041B14"/>
    <w:rsid w:val="00041DD4"/>
    <w:rsid w:val="00041DF9"/>
    <w:rsid w:val="00041EE7"/>
    <w:rsid w:val="00042137"/>
    <w:rsid w:val="00042D63"/>
    <w:rsid w:val="00042E51"/>
    <w:rsid w:val="0004330C"/>
    <w:rsid w:val="0004393A"/>
    <w:rsid w:val="00043F6B"/>
    <w:rsid w:val="00044052"/>
    <w:rsid w:val="000440B9"/>
    <w:rsid w:val="00044420"/>
    <w:rsid w:val="00044547"/>
    <w:rsid w:val="00044B09"/>
    <w:rsid w:val="00044CB5"/>
    <w:rsid w:val="00044F1E"/>
    <w:rsid w:val="00045169"/>
    <w:rsid w:val="00045EE5"/>
    <w:rsid w:val="000461F1"/>
    <w:rsid w:val="00046583"/>
    <w:rsid w:val="0004680C"/>
    <w:rsid w:val="00046ABC"/>
    <w:rsid w:val="00047118"/>
    <w:rsid w:val="00047511"/>
    <w:rsid w:val="00047651"/>
    <w:rsid w:val="00047F05"/>
    <w:rsid w:val="00047F3A"/>
    <w:rsid w:val="00050414"/>
    <w:rsid w:val="000507ED"/>
    <w:rsid w:val="00050875"/>
    <w:rsid w:val="000508F9"/>
    <w:rsid w:val="00050B39"/>
    <w:rsid w:val="00050E9B"/>
    <w:rsid w:val="000510D5"/>
    <w:rsid w:val="000512C7"/>
    <w:rsid w:val="000513AF"/>
    <w:rsid w:val="0005175D"/>
    <w:rsid w:val="00051871"/>
    <w:rsid w:val="00051CB3"/>
    <w:rsid w:val="00052022"/>
    <w:rsid w:val="000523CD"/>
    <w:rsid w:val="00052989"/>
    <w:rsid w:val="00052A4C"/>
    <w:rsid w:val="00052D3B"/>
    <w:rsid w:val="00052FE5"/>
    <w:rsid w:val="00053050"/>
    <w:rsid w:val="000535EB"/>
    <w:rsid w:val="000536DE"/>
    <w:rsid w:val="00053B4F"/>
    <w:rsid w:val="00053C8A"/>
    <w:rsid w:val="000545B7"/>
    <w:rsid w:val="00054603"/>
    <w:rsid w:val="00054810"/>
    <w:rsid w:val="00054AB0"/>
    <w:rsid w:val="00054E07"/>
    <w:rsid w:val="0005507C"/>
    <w:rsid w:val="0005514A"/>
    <w:rsid w:val="000551FD"/>
    <w:rsid w:val="00055461"/>
    <w:rsid w:val="000557FB"/>
    <w:rsid w:val="000558AD"/>
    <w:rsid w:val="00055B57"/>
    <w:rsid w:val="00055DE1"/>
    <w:rsid w:val="00055F2C"/>
    <w:rsid w:val="00056635"/>
    <w:rsid w:val="00056C79"/>
    <w:rsid w:val="00056F41"/>
    <w:rsid w:val="00056FAF"/>
    <w:rsid w:val="0005724B"/>
    <w:rsid w:val="000573A3"/>
    <w:rsid w:val="000574F7"/>
    <w:rsid w:val="00057554"/>
    <w:rsid w:val="00057594"/>
    <w:rsid w:val="00057851"/>
    <w:rsid w:val="00057957"/>
    <w:rsid w:val="00057EA2"/>
    <w:rsid w:val="00057F73"/>
    <w:rsid w:val="000602DB"/>
    <w:rsid w:val="0006034C"/>
    <w:rsid w:val="00060611"/>
    <w:rsid w:val="0006062A"/>
    <w:rsid w:val="00060C18"/>
    <w:rsid w:val="000612B2"/>
    <w:rsid w:val="000612BF"/>
    <w:rsid w:val="0006196B"/>
    <w:rsid w:val="00061FFE"/>
    <w:rsid w:val="00062486"/>
    <w:rsid w:val="00062704"/>
    <w:rsid w:val="00062CA8"/>
    <w:rsid w:val="00062D73"/>
    <w:rsid w:val="00062EC9"/>
    <w:rsid w:val="00062EF2"/>
    <w:rsid w:val="00062FCF"/>
    <w:rsid w:val="00063173"/>
    <w:rsid w:val="000631D9"/>
    <w:rsid w:val="000636F7"/>
    <w:rsid w:val="00063875"/>
    <w:rsid w:val="000638D0"/>
    <w:rsid w:val="00063C03"/>
    <w:rsid w:val="00063CE7"/>
    <w:rsid w:val="00063D76"/>
    <w:rsid w:val="00064008"/>
    <w:rsid w:val="00064347"/>
    <w:rsid w:val="00064697"/>
    <w:rsid w:val="00064C69"/>
    <w:rsid w:val="00065517"/>
    <w:rsid w:val="00065FE9"/>
    <w:rsid w:val="000661A9"/>
    <w:rsid w:val="000666BD"/>
    <w:rsid w:val="0006697E"/>
    <w:rsid w:val="000669D3"/>
    <w:rsid w:val="000669E6"/>
    <w:rsid w:val="00066FA4"/>
    <w:rsid w:val="0006775E"/>
    <w:rsid w:val="000678A2"/>
    <w:rsid w:val="00067B1A"/>
    <w:rsid w:val="00067B9C"/>
    <w:rsid w:val="000700B5"/>
    <w:rsid w:val="00070370"/>
    <w:rsid w:val="00070934"/>
    <w:rsid w:val="00070DB2"/>
    <w:rsid w:val="00070E3D"/>
    <w:rsid w:val="00070EBF"/>
    <w:rsid w:val="00070FB9"/>
    <w:rsid w:val="00071014"/>
    <w:rsid w:val="00071779"/>
    <w:rsid w:val="00071F0E"/>
    <w:rsid w:val="00072077"/>
    <w:rsid w:val="000722E6"/>
    <w:rsid w:val="0007266D"/>
    <w:rsid w:val="00072E83"/>
    <w:rsid w:val="00072EB6"/>
    <w:rsid w:val="0007319C"/>
    <w:rsid w:val="000733FC"/>
    <w:rsid w:val="0007342F"/>
    <w:rsid w:val="00073AA1"/>
    <w:rsid w:val="00073B03"/>
    <w:rsid w:val="000748FE"/>
    <w:rsid w:val="00074ED2"/>
    <w:rsid w:val="00075107"/>
    <w:rsid w:val="000752AB"/>
    <w:rsid w:val="0007530B"/>
    <w:rsid w:val="00075690"/>
    <w:rsid w:val="0007594F"/>
    <w:rsid w:val="00076154"/>
    <w:rsid w:val="000764D2"/>
    <w:rsid w:val="00076663"/>
    <w:rsid w:val="0007670F"/>
    <w:rsid w:val="00076845"/>
    <w:rsid w:val="00076B16"/>
    <w:rsid w:val="00076DEE"/>
    <w:rsid w:val="00076EB3"/>
    <w:rsid w:val="000770E0"/>
    <w:rsid w:val="000771A3"/>
    <w:rsid w:val="00077658"/>
    <w:rsid w:val="0007773F"/>
    <w:rsid w:val="00077BA7"/>
    <w:rsid w:val="00077C17"/>
    <w:rsid w:val="00080144"/>
    <w:rsid w:val="0008054D"/>
    <w:rsid w:val="00080746"/>
    <w:rsid w:val="000807D2"/>
    <w:rsid w:val="00080F51"/>
    <w:rsid w:val="000810A9"/>
    <w:rsid w:val="00081182"/>
    <w:rsid w:val="000816D2"/>
    <w:rsid w:val="00081D40"/>
    <w:rsid w:val="00081FDB"/>
    <w:rsid w:val="000824B4"/>
    <w:rsid w:val="000825C3"/>
    <w:rsid w:val="00082BC9"/>
    <w:rsid w:val="00082C84"/>
    <w:rsid w:val="00082C9A"/>
    <w:rsid w:val="00082D6A"/>
    <w:rsid w:val="00082F8D"/>
    <w:rsid w:val="000832D4"/>
    <w:rsid w:val="0008338A"/>
    <w:rsid w:val="000837AD"/>
    <w:rsid w:val="00083A29"/>
    <w:rsid w:val="00083BA9"/>
    <w:rsid w:val="00083EEE"/>
    <w:rsid w:val="00084438"/>
    <w:rsid w:val="00084453"/>
    <w:rsid w:val="00084517"/>
    <w:rsid w:val="00084811"/>
    <w:rsid w:val="000848FC"/>
    <w:rsid w:val="00084BA1"/>
    <w:rsid w:val="00084C3E"/>
    <w:rsid w:val="00084E56"/>
    <w:rsid w:val="000851FB"/>
    <w:rsid w:val="000853AF"/>
    <w:rsid w:val="0008603E"/>
    <w:rsid w:val="00087852"/>
    <w:rsid w:val="000879B3"/>
    <w:rsid w:val="00087B24"/>
    <w:rsid w:val="00087BB0"/>
    <w:rsid w:val="0009010F"/>
    <w:rsid w:val="00090179"/>
    <w:rsid w:val="0009024D"/>
    <w:rsid w:val="000902B2"/>
    <w:rsid w:val="00090A59"/>
    <w:rsid w:val="00090A9B"/>
    <w:rsid w:val="00090D37"/>
    <w:rsid w:val="00090DBD"/>
    <w:rsid w:val="000910A6"/>
    <w:rsid w:val="0009153D"/>
    <w:rsid w:val="00091603"/>
    <w:rsid w:val="00091B55"/>
    <w:rsid w:val="00092341"/>
    <w:rsid w:val="000923DB"/>
    <w:rsid w:val="000924DE"/>
    <w:rsid w:val="00092F78"/>
    <w:rsid w:val="000932AC"/>
    <w:rsid w:val="000933C5"/>
    <w:rsid w:val="000937BE"/>
    <w:rsid w:val="00093E58"/>
    <w:rsid w:val="00093FEC"/>
    <w:rsid w:val="000943DD"/>
    <w:rsid w:val="00094539"/>
    <w:rsid w:val="0009462F"/>
    <w:rsid w:val="000949E4"/>
    <w:rsid w:val="00094C50"/>
    <w:rsid w:val="00094E4B"/>
    <w:rsid w:val="000951A8"/>
    <w:rsid w:val="00095232"/>
    <w:rsid w:val="000953F4"/>
    <w:rsid w:val="000956C8"/>
    <w:rsid w:val="00095826"/>
    <w:rsid w:val="000959E0"/>
    <w:rsid w:val="00095CC0"/>
    <w:rsid w:val="00096232"/>
    <w:rsid w:val="000969ED"/>
    <w:rsid w:val="000971E3"/>
    <w:rsid w:val="000975CC"/>
    <w:rsid w:val="000A0AD6"/>
    <w:rsid w:val="000A0BBB"/>
    <w:rsid w:val="000A106A"/>
    <w:rsid w:val="000A113F"/>
    <w:rsid w:val="000A1821"/>
    <w:rsid w:val="000A1929"/>
    <w:rsid w:val="000A1C76"/>
    <w:rsid w:val="000A1DC6"/>
    <w:rsid w:val="000A2347"/>
    <w:rsid w:val="000A23E8"/>
    <w:rsid w:val="000A296B"/>
    <w:rsid w:val="000A2ABD"/>
    <w:rsid w:val="000A2AF5"/>
    <w:rsid w:val="000A3268"/>
    <w:rsid w:val="000A3655"/>
    <w:rsid w:val="000A3BCE"/>
    <w:rsid w:val="000A3FDA"/>
    <w:rsid w:val="000A40FA"/>
    <w:rsid w:val="000A47C5"/>
    <w:rsid w:val="000A4ACB"/>
    <w:rsid w:val="000A5C2A"/>
    <w:rsid w:val="000A6131"/>
    <w:rsid w:val="000A6152"/>
    <w:rsid w:val="000A683B"/>
    <w:rsid w:val="000A7016"/>
    <w:rsid w:val="000A71AF"/>
    <w:rsid w:val="000A7344"/>
    <w:rsid w:val="000A7733"/>
    <w:rsid w:val="000A7920"/>
    <w:rsid w:val="000A797A"/>
    <w:rsid w:val="000A7AA7"/>
    <w:rsid w:val="000A7AC2"/>
    <w:rsid w:val="000A7B59"/>
    <w:rsid w:val="000A7DFD"/>
    <w:rsid w:val="000B01ED"/>
    <w:rsid w:val="000B0243"/>
    <w:rsid w:val="000B04EE"/>
    <w:rsid w:val="000B05E0"/>
    <w:rsid w:val="000B0A0C"/>
    <w:rsid w:val="000B0D5C"/>
    <w:rsid w:val="000B11A9"/>
    <w:rsid w:val="000B1ED2"/>
    <w:rsid w:val="000B24FB"/>
    <w:rsid w:val="000B2823"/>
    <w:rsid w:val="000B294F"/>
    <w:rsid w:val="000B2AB9"/>
    <w:rsid w:val="000B2AC8"/>
    <w:rsid w:val="000B2F99"/>
    <w:rsid w:val="000B30C7"/>
    <w:rsid w:val="000B376E"/>
    <w:rsid w:val="000B3A06"/>
    <w:rsid w:val="000B3A38"/>
    <w:rsid w:val="000B3A53"/>
    <w:rsid w:val="000B3BF4"/>
    <w:rsid w:val="000B3CB8"/>
    <w:rsid w:val="000B44C8"/>
    <w:rsid w:val="000B4642"/>
    <w:rsid w:val="000B4A22"/>
    <w:rsid w:val="000B4A9A"/>
    <w:rsid w:val="000B4D42"/>
    <w:rsid w:val="000B555D"/>
    <w:rsid w:val="000B5AE7"/>
    <w:rsid w:val="000B5D7F"/>
    <w:rsid w:val="000B634F"/>
    <w:rsid w:val="000B64DD"/>
    <w:rsid w:val="000B6677"/>
    <w:rsid w:val="000B6914"/>
    <w:rsid w:val="000B69AD"/>
    <w:rsid w:val="000B6A4F"/>
    <w:rsid w:val="000B6B50"/>
    <w:rsid w:val="000B6C9E"/>
    <w:rsid w:val="000B6DEA"/>
    <w:rsid w:val="000B6FC5"/>
    <w:rsid w:val="000C029E"/>
    <w:rsid w:val="000C18A4"/>
    <w:rsid w:val="000C1B03"/>
    <w:rsid w:val="000C1BB3"/>
    <w:rsid w:val="000C1F7B"/>
    <w:rsid w:val="000C23C8"/>
    <w:rsid w:val="000C272B"/>
    <w:rsid w:val="000C2816"/>
    <w:rsid w:val="000C282C"/>
    <w:rsid w:val="000C30D8"/>
    <w:rsid w:val="000C33F6"/>
    <w:rsid w:val="000C379D"/>
    <w:rsid w:val="000C37B6"/>
    <w:rsid w:val="000C399D"/>
    <w:rsid w:val="000C3DC1"/>
    <w:rsid w:val="000C421B"/>
    <w:rsid w:val="000C42F8"/>
    <w:rsid w:val="000C439E"/>
    <w:rsid w:val="000C46A3"/>
    <w:rsid w:val="000C4826"/>
    <w:rsid w:val="000C48A8"/>
    <w:rsid w:val="000C4E43"/>
    <w:rsid w:val="000C4ED4"/>
    <w:rsid w:val="000C53D8"/>
    <w:rsid w:val="000C5408"/>
    <w:rsid w:val="000C609B"/>
    <w:rsid w:val="000C6CE4"/>
    <w:rsid w:val="000C6DDE"/>
    <w:rsid w:val="000C6DE5"/>
    <w:rsid w:val="000C6F5D"/>
    <w:rsid w:val="000C71F8"/>
    <w:rsid w:val="000C737D"/>
    <w:rsid w:val="000C77CC"/>
    <w:rsid w:val="000C784F"/>
    <w:rsid w:val="000C7878"/>
    <w:rsid w:val="000C78DB"/>
    <w:rsid w:val="000C7F44"/>
    <w:rsid w:val="000D0365"/>
    <w:rsid w:val="000D0395"/>
    <w:rsid w:val="000D05A6"/>
    <w:rsid w:val="000D06C8"/>
    <w:rsid w:val="000D1518"/>
    <w:rsid w:val="000D15E5"/>
    <w:rsid w:val="000D1820"/>
    <w:rsid w:val="000D1984"/>
    <w:rsid w:val="000D1E2C"/>
    <w:rsid w:val="000D1EA2"/>
    <w:rsid w:val="000D2566"/>
    <w:rsid w:val="000D29EF"/>
    <w:rsid w:val="000D2C40"/>
    <w:rsid w:val="000D2DED"/>
    <w:rsid w:val="000D34C2"/>
    <w:rsid w:val="000D39CF"/>
    <w:rsid w:val="000D3A5C"/>
    <w:rsid w:val="000D3BB4"/>
    <w:rsid w:val="000D3E8E"/>
    <w:rsid w:val="000D3FFD"/>
    <w:rsid w:val="000D4228"/>
    <w:rsid w:val="000D4719"/>
    <w:rsid w:val="000D494B"/>
    <w:rsid w:val="000D547C"/>
    <w:rsid w:val="000D5492"/>
    <w:rsid w:val="000D67BB"/>
    <w:rsid w:val="000D74E6"/>
    <w:rsid w:val="000D763F"/>
    <w:rsid w:val="000D76D5"/>
    <w:rsid w:val="000D799A"/>
    <w:rsid w:val="000D7B82"/>
    <w:rsid w:val="000D7B9E"/>
    <w:rsid w:val="000D7F31"/>
    <w:rsid w:val="000E059B"/>
    <w:rsid w:val="000E0896"/>
    <w:rsid w:val="000E0AAC"/>
    <w:rsid w:val="000E0D16"/>
    <w:rsid w:val="000E0E9C"/>
    <w:rsid w:val="000E0F22"/>
    <w:rsid w:val="000E1309"/>
    <w:rsid w:val="000E170A"/>
    <w:rsid w:val="000E1C81"/>
    <w:rsid w:val="000E1E18"/>
    <w:rsid w:val="000E1E19"/>
    <w:rsid w:val="000E23AC"/>
    <w:rsid w:val="000E2674"/>
    <w:rsid w:val="000E2E60"/>
    <w:rsid w:val="000E321E"/>
    <w:rsid w:val="000E356B"/>
    <w:rsid w:val="000E35B9"/>
    <w:rsid w:val="000E3767"/>
    <w:rsid w:val="000E38A5"/>
    <w:rsid w:val="000E3A79"/>
    <w:rsid w:val="000E3EE7"/>
    <w:rsid w:val="000E3F44"/>
    <w:rsid w:val="000E3FC1"/>
    <w:rsid w:val="000E47C3"/>
    <w:rsid w:val="000E48BC"/>
    <w:rsid w:val="000E4B5B"/>
    <w:rsid w:val="000E4EBC"/>
    <w:rsid w:val="000E5296"/>
    <w:rsid w:val="000E5332"/>
    <w:rsid w:val="000E5392"/>
    <w:rsid w:val="000E54CB"/>
    <w:rsid w:val="000E5651"/>
    <w:rsid w:val="000E601A"/>
    <w:rsid w:val="000E6042"/>
    <w:rsid w:val="000E6139"/>
    <w:rsid w:val="000E64BC"/>
    <w:rsid w:val="000E64F7"/>
    <w:rsid w:val="000E6892"/>
    <w:rsid w:val="000E6944"/>
    <w:rsid w:val="000E6B89"/>
    <w:rsid w:val="000E6C41"/>
    <w:rsid w:val="000E6F33"/>
    <w:rsid w:val="000E70C6"/>
    <w:rsid w:val="000E750F"/>
    <w:rsid w:val="000E7558"/>
    <w:rsid w:val="000E7732"/>
    <w:rsid w:val="000E7A79"/>
    <w:rsid w:val="000E7BAB"/>
    <w:rsid w:val="000E7BB5"/>
    <w:rsid w:val="000E7D62"/>
    <w:rsid w:val="000F0142"/>
    <w:rsid w:val="000F05CC"/>
    <w:rsid w:val="000F092B"/>
    <w:rsid w:val="000F0B33"/>
    <w:rsid w:val="000F0C04"/>
    <w:rsid w:val="000F0DBA"/>
    <w:rsid w:val="000F0E90"/>
    <w:rsid w:val="000F0F32"/>
    <w:rsid w:val="000F10FD"/>
    <w:rsid w:val="000F1189"/>
    <w:rsid w:val="000F121B"/>
    <w:rsid w:val="000F1876"/>
    <w:rsid w:val="000F1BDA"/>
    <w:rsid w:val="000F1DE9"/>
    <w:rsid w:val="000F1E20"/>
    <w:rsid w:val="000F2073"/>
    <w:rsid w:val="000F2903"/>
    <w:rsid w:val="000F2A11"/>
    <w:rsid w:val="000F2C9C"/>
    <w:rsid w:val="000F2D3A"/>
    <w:rsid w:val="000F2E49"/>
    <w:rsid w:val="000F2EB8"/>
    <w:rsid w:val="000F30B9"/>
    <w:rsid w:val="000F34DD"/>
    <w:rsid w:val="000F3BC0"/>
    <w:rsid w:val="000F3E91"/>
    <w:rsid w:val="000F42DF"/>
    <w:rsid w:val="000F46FC"/>
    <w:rsid w:val="000F4765"/>
    <w:rsid w:val="000F479C"/>
    <w:rsid w:val="000F59A0"/>
    <w:rsid w:val="000F5AF8"/>
    <w:rsid w:val="000F5DA1"/>
    <w:rsid w:val="000F604B"/>
    <w:rsid w:val="000F65AA"/>
    <w:rsid w:val="000F6670"/>
    <w:rsid w:val="000F6A32"/>
    <w:rsid w:val="000F6D62"/>
    <w:rsid w:val="000F6D78"/>
    <w:rsid w:val="000F74D5"/>
    <w:rsid w:val="000F75F2"/>
    <w:rsid w:val="000F7FEA"/>
    <w:rsid w:val="001000B1"/>
    <w:rsid w:val="001003F7"/>
    <w:rsid w:val="0010045D"/>
    <w:rsid w:val="00100802"/>
    <w:rsid w:val="00100A83"/>
    <w:rsid w:val="00100B7E"/>
    <w:rsid w:val="001016A7"/>
    <w:rsid w:val="00101AD2"/>
    <w:rsid w:val="00101D01"/>
    <w:rsid w:val="0010221E"/>
    <w:rsid w:val="0010226D"/>
    <w:rsid w:val="0010228B"/>
    <w:rsid w:val="001022EC"/>
    <w:rsid w:val="001027F5"/>
    <w:rsid w:val="00102A3F"/>
    <w:rsid w:val="00102E33"/>
    <w:rsid w:val="00103059"/>
    <w:rsid w:val="001031E7"/>
    <w:rsid w:val="00103285"/>
    <w:rsid w:val="0010345B"/>
    <w:rsid w:val="00103961"/>
    <w:rsid w:val="00103B68"/>
    <w:rsid w:val="00104378"/>
    <w:rsid w:val="00104632"/>
    <w:rsid w:val="00104B95"/>
    <w:rsid w:val="00104E0E"/>
    <w:rsid w:val="0010542B"/>
    <w:rsid w:val="00105994"/>
    <w:rsid w:val="00105C33"/>
    <w:rsid w:val="00105CB5"/>
    <w:rsid w:val="00105D0B"/>
    <w:rsid w:val="0010634B"/>
    <w:rsid w:val="001068EE"/>
    <w:rsid w:val="00106B20"/>
    <w:rsid w:val="00106D20"/>
    <w:rsid w:val="00106D7F"/>
    <w:rsid w:val="00107083"/>
    <w:rsid w:val="001073F9"/>
    <w:rsid w:val="001074F4"/>
    <w:rsid w:val="001075A6"/>
    <w:rsid w:val="00107607"/>
    <w:rsid w:val="001076B4"/>
    <w:rsid w:val="00107867"/>
    <w:rsid w:val="0011000D"/>
    <w:rsid w:val="001100C0"/>
    <w:rsid w:val="001102A4"/>
    <w:rsid w:val="001107B5"/>
    <w:rsid w:val="00110ED2"/>
    <w:rsid w:val="001110B6"/>
    <w:rsid w:val="0011120C"/>
    <w:rsid w:val="00111319"/>
    <w:rsid w:val="00111512"/>
    <w:rsid w:val="00111700"/>
    <w:rsid w:val="001118BE"/>
    <w:rsid w:val="00111BEB"/>
    <w:rsid w:val="00111ED9"/>
    <w:rsid w:val="0011247E"/>
    <w:rsid w:val="0011289B"/>
    <w:rsid w:val="00112B15"/>
    <w:rsid w:val="00112B6C"/>
    <w:rsid w:val="001130EF"/>
    <w:rsid w:val="0011327F"/>
    <w:rsid w:val="001136A3"/>
    <w:rsid w:val="001142A8"/>
    <w:rsid w:val="001143E3"/>
    <w:rsid w:val="0011441B"/>
    <w:rsid w:val="00114AFE"/>
    <w:rsid w:val="00114B7E"/>
    <w:rsid w:val="00115334"/>
    <w:rsid w:val="00115590"/>
    <w:rsid w:val="00115730"/>
    <w:rsid w:val="00115873"/>
    <w:rsid w:val="00115A3D"/>
    <w:rsid w:val="00115AB2"/>
    <w:rsid w:val="00115ED3"/>
    <w:rsid w:val="001163DB"/>
    <w:rsid w:val="00116474"/>
    <w:rsid w:val="001167A0"/>
    <w:rsid w:val="00116B03"/>
    <w:rsid w:val="00116C17"/>
    <w:rsid w:val="00116D03"/>
    <w:rsid w:val="00116D76"/>
    <w:rsid w:val="0011740C"/>
    <w:rsid w:val="001177E3"/>
    <w:rsid w:val="00117AEB"/>
    <w:rsid w:val="00117C1F"/>
    <w:rsid w:val="00117F5B"/>
    <w:rsid w:val="00120AC6"/>
    <w:rsid w:val="00120AF4"/>
    <w:rsid w:val="00120BCC"/>
    <w:rsid w:val="00120D63"/>
    <w:rsid w:val="00121085"/>
    <w:rsid w:val="001212DE"/>
    <w:rsid w:val="00121492"/>
    <w:rsid w:val="00121B59"/>
    <w:rsid w:val="00121DC6"/>
    <w:rsid w:val="00121E2A"/>
    <w:rsid w:val="001220E1"/>
    <w:rsid w:val="00122229"/>
    <w:rsid w:val="001222AA"/>
    <w:rsid w:val="00122394"/>
    <w:rsid w:val="001225B2"/>
    <w:rsid w:val="0012291D"/>
    <w:rsid w:val="00122EF1"/>
    <w:rsid w:val="001230A4"/>
    <w:rsid w:val="00123D28"/>
    <w:rsid w:val="001242B7"/>
    <w:rsid w:val="001242DE"/>
    <w:rsid w:val="0012436B"/>
    <w:rsid w:val="00125373"/>
    <w:rsid w:val="001254EE"/>
    <w:rsid w:val="00125838"/>
    <w:rsid w:val="00125A68"/>
    <w:rsid w:val="00125B50"/>
    <w:rsid w:val="00125F7E"/>
    <w:rsid w:val="001267F0"/>
    <w:rsid w:val="00127570"/>
    <w:rsid w:val="00127670"/>
    <w:rsid w:val="0012793B"/>
    <w:rsid w:val="00127C87"/>
    <w:rsid w:val="001301A8"/>
    <w:rsid w:val="00130548"/>
    <w:rsid w:val="00130573"/>
    <w:rsid w:val="0013075C"/>
    <w:rsid w:val="00130A4F"/>
    <w:rsid w:val="00131104"/>
    <w:rsid w:val="00131702"/>
    <w:rsid w:val="00131B54"/>
    <w:rsid w:val="001322BF"/>
    <w:rsid w:val="001323AD"/>
    <w:rsid w:val="001326F7"/>
    <w:rsid w:val="00132D8C"/>
    <w:rsid w:val="00132DED"/>
    <w:rsid w:val="00132E37"/>
    <w:rsid w:val="00132ED3"/>
    <w:rsid w:val="00132F00"/>
    <w:rsid w:val="00132F66"/>
    <w:rsid w:val="0013332E"/>
    <w:rsid w:val="00133456"/>
    <w:rsid w:val="00133648"/>
    <w:rsid w:val="001336A0"/>
    <w:rsid w:val="00133D8B"/>
    <w:rsid w:val="00133E4D"/>
    <w:rsid w:val="00133E51"/>
    <w:rsid w:val="0013468A"/>
    <w:rsid w:val="00134C09"/>
    <w:rsid w:val="0013523B"/>
    <w:rsid w:val="00135698"/>
    <w:rsid w:val="001358DF"/>
    <w:rsid w:val="001358F9"/>
    <w:rsid w:val="00135D31"/>
    <w:rsid w:val="00136355"/>
    <w:rsid w:val="00136649"/>
    <w:rsid w:val="00137688"/>
    <w:rsid w:val="00137EC1"/>
    <w:rsid w:val="00137FD7"/>
    <w:rsid w:val="00140D47"/>
    <w:rsid w:val="00140D57"/>
    <w:rsid w:val="00140E22"/>
    <w:rsid w:val="00140EFB"/>
    <w:rsid w:val="00141088"/>
    <w:rsid w:val="00141668"/>
    <w:rsid w:val="001416CF"/>
    <w:rsid w:val="001417AF"/>
    <w:rsid w:val="00141854"/>
    <w:rsid w:val="00141D05"/>
    <w:rsid w:val="00141FE5"/>
    <w:rsid w:val="00142109"/>
    <w:rsid w:val="001425D1"/>
    <w:rsid w:val="00142A28"/>
    <w:rsid w:val="00142BA9"/>
    <w:rsid w:val="00142C98"/>
    <w:rsid w:val="00142CBA"/>
    <w:rsid w:val="00143115"/>
    <w:rsid w:val="001433FB"/>
    <w:rsid w:val="001437F1"/>
    <w:rsid w:val="00143A45"/>
    <w:rsid w:val="00144735"/>
    <w:rsid w:val="00144769"/>
    <w:rsid w:val="00144C47"/>
    <w:rsid w:val="00144D88"/>
    <w:rsid w:val="00145032"/>
    <w:rsid w:val="001459D2"/>
    <w:rsid w:val="00145DBB"/>
    <w:rsid w:val="00145E1F"/>
    <w:rsid w:val="00145E78"/>
    <w:rsid w:val="00146581"/>
    <w:rsid w:val="0014694A"/>
    <w:rsid w:val="00146B82"/>
    <w:rsid w:val="00146BBF"/>
    <w:rsid w:val="00146FE1"/>
    <w:rsid w:val="00147D75"/>
    <w:rsid w:val="00147EA0"/>
    <w:rsid w:val="00150003"/>
    <w:rsid w:val="00150395"/>
    <w:rsid w:val="001503A4"/>
    <w:rsid w:val="001504ED"/>
    <w:rsid w:val="001507FE"/>
    <w:rsid w:val="0015091A"/>
    <w:rsid w:val="00150A2E"/>
    <w:rsid w:val="00150B3A"/>
    <w:rsid w:val="00150C5B"/>
    <w:rsid w:val="00150C8D"/>
    <w:rsid w:val="00150ED0"/>
    <w:rsid w:val="00151006"/>
    <w:rsid w:val="001510FD"/>
    <w:rsid w:val="00151557"/>
    <w:rsid w:val="00151885"/>
    <w:rsid w:val="00151BBA"/>
    <w:rsid w:val="00151EFA"/>
    <w:rsid w:val="001523F1"/>
    <w:rsid w:val="001524CD"/>
    <w:rsid w:val="00152558"/>
    <w:rsid w:val="0015315C"/>
    <w:rsid w:val="00153316"/>
    <w:rsid w:val="00153646"/>
    <w:rsid w:val="0015387D"/>
    <w:rsid w:val="00153B11"/>
    <w:rsid w:val="00153D98"/>
    <w:rsid w:val="001546D0"/>
    <w:rsid w:val="001547DA"/>
    <w:rsid w:val="00154A48"/>
    <w:rsid w:val="00154D8F"/>
    <w:rsid w:val="00154E48"/>
    <w:rsid w:val="00154FD2"/>
    <w:rsid w:val="00155194"/>
    <w:rsid w:val="00155DD3"/>
    <w:rsid w:val="001563A8"/>
    <w:rsid w:val="00156443"/>
    <w:rsid w:val="00156FF5"/>
    <w:rsid w:val="001574FA"/>
    <w:rsid w:val="0015763D"/>
    <w:rsid w:val="001576CE"/>
    <w:rsid w:val="00157816"/>
    <w:rsid w:val="00157BB2"/>
    <w:rsid w:val="001600A6"/>
    <w:rsid w:val="00160237"/>
    <w:rsid w:val="00160240"/>
    <w:rsid w:val="00160770"/>
    <w:rsid w:val="0016096A"/>
    <w:rsid w:val="00160D6A"/>
    <w:rsid w:val="00160EA4"/>
    <w:rsid w:val="0016116E"/>
    <w:rsid w:val="00161AA4"/>
    <w:rsid w:val="00161CD2"/>
    <w:rsid w:val="00162018"/>
    <w:rsid w:val="00162058"/>
    <w:rsid w:val="001625D8"/>
    <w:rsid w:val="001626AD"/>
    <w:rsid w:val="00162E13"/>
    <w:rsid w:val="00162F15"/>
    <w:rsid w:val="00162FB5"/>
    <w:rsid w:val="00163731"/>
    <w:rsid w:val="00163A5C"/>
    <w:rsid w:val="00164037"/>
    <w:rsid w:val="001641E3"/>
    <w:rsid w:val="001646EB"/>
    <w:rsid w:val="001648BA"/>
    <w:rsid w:val="00164C9F"/>
    <w:rsid w:val="00165064"/>
    <w:rsid w:val="00165C2F"/>
    <w:rsid w:val="00165C89"/>
    <w:rsid w:val="00165D54"/>
    <w:rsid w:val="00165DE9"/>
    <w:rsid w:val="00166031"/>
    <w:rsid w:val="00166806"/>
    <w:rsid w:val="00166A78"/>
    <w:rsid w:val="00166E28"/>
    <w:rsid w:val="00167401"/>
    <w:rsid w:val="0016740A"/>
    <w:rsid w:val="00167BDE"/>
    <w:rsid w:val="00167FA3"/>
    <w:rsid w:val="0017003B"/>
    <w:rsid w:val="00170694"/>
    <w:rsid w:val="001706C8"/>
    <w:rsid w:val="00170B33"/>
    <w:rsid w:val="00170B74"/>
    <w:rsid w:val="00170BB2"/>
    <w:rsid w:val="00170D31"/>
    <w:rsid w:val="00171067"/>
    <w:rsid w:val="001716B1"/>
    <w:rsid w:val="00171722"/>
    <w:rsid w:val="00171A42"/>
    <w:rsid w:val="00171A47"/>
    <w:rsid w:val="00171BE9"/>
    <w:rsid w:val="00171F47"/>
    <w:rsid w:val="00172057"/>
    <w:rsid w:val="00172160"/>
    <w:rsid w:val="00172322"/>
    <w:rsid w:val="001727E3"/>
    <w:rsid w:val="001731EF"/>
    <w:rsid w:val="00173468"/>
    <w:rsid w:val="001734A3"/>
    <w:rsid w:val="001734AC"/>
    <w:rsid w:val="00173524"/>
    <w:rsid w:val="0017365E"/>
    <w:rsid w:val="001736AC"/>
    <w:rsid w:val="0017382C"/>
    <w:rsid w:val="001739EF"/>
    <w:rsid w:val="00173A50"/>
    <w:rsid w:val="00173EF9"/>
    <w:rsid w:val="0017408B"/>
    <w:rsid w:val="00174238"/>
    <w:rsid w:val="00174263"/>
    <w:rsid w:val="00174388"/>
    <w:rsid w:val="00174442"/>
    <w:rsid w:val="001745F6"/>
    <w:rsid w:val="0017468A"/>
    <w:rsid w:val="00174C43"/>
    <w:rsid w:val="00174DD1"/>
    <w:rsid w:val="00174DF9"/>
    <w:rsid w:val="00174EC8"/>
    <w:rsid w:val="0017510B"/>
    <w:rsid w:val="00175151"/>
    <w:rsid w:val="001751BC"/>
    <w:rsid w:val="00175391"/>
    <w:rsid w:val="00175425"/>
    <w:rsid w:val="00175756"/>
    <w:rsid w:val="001759DB"/>
    <w:rsid w:val="001759EA"/>
    <w:rsid w:val="00175AF4"/>
    <w:rsid w:val="001763A9"/>
    <w:rsid w:val="0017667E"/>
    <w:rsid w:val="001772BB"/>
    <w:rsid w:val="0017741C"/>
    <w:rsid w:val="0017763B"/>
    <w:rsid w:val="001778A2"/>
    <w:rsid w:val="001779E4"/>
    <w:rsid w:val="00177F64"/>
    <w:rsid w:val="00177FD5"/>
    <w:rsid w:val="00180028"/>
    <w:rsid w:val="001800FB"/>
    <w:rsid w:val="00180292"/>
    <w:rsid w:val="00180846"/>
    <w:rsid w:val="001808E8"/>
    <w:rsid w:val="0018157D"/>
    <w:rsid w:val="00181A46"/>
    <w:rsid w:val="00182234"/>
    <w:rsid w:val="00182304"/>
    <w:rsid w:val="0018235B"/>
    <w:rsid w:val="00182403"/>
    <w:rsid w:val="0018286C"/>
    <w:rsid w:val="00182987"/>
    <w:rsid w:val="001829B9"/>
    <w:rsid w:val="00182B1D"/>
    <w:rsid w:val="00182D28"/>
    <w:rsid w:val="00182EA2"/>
    <w:rsid w:val="00182F67"/>
    <w:rsid w:val="001830DD"/>
    <w:rsid w:val="00183372"/>
    <w:rsid w:val="001835AF"/>
    <w:rsid w:val="00183619"/>
    <w:rsid w:val="00183936"/>
    <w:rsid w:val="00183990"/>
    <w:rsid w:val="00183B7A"/>
    <w:rsid w:val="00183C70"/>
    <w:rsid w:val="001849D0"/>
    <w:rsid w:val="00184AF2"/>
    <w:rsid w:val="0018503B"/>
    <w:rsid w:val="001853B1"/>
    <w:rsid w:val="001855B2"/>
    <w:rsid w:val="00185825"/>
    <w:rsid w:val="0018636E"/>
    <w:rsid w:val="001868CF"/>
    <w:rsid w:val="00186BD5"/>
    <w:rsid w:val="00186BF9"/>
    <w:rsid w:val="00186D31"/>
    <w:rsid w:val="00186E6F"/>
    <w:rsid w:val="00186FAF"/>
    <w:rsid w:val="00187249"/>
    <w:rsid w:val="0018729B"/>
    <w:rsid w:val="00187463"/>
    <w:rsid w:val="001900AC"/>
    <w:rsid w:val="0019040D"/>
    <w:rsid w:val="001908D4"/>
    <w:rsid w:val="00190F81"/>
    <w:rsid w:val="001911F1"/>
    <w:rsid w:val="001915D4"/>
    <w:rsid w:val="001915F2"/>
    <w:rsid w:val="0019167E"/>
    <w:rsid w:val="001916F7"/>
    <w:rsid w:val="00191826"/>
    <w:rsid w:val="0019182F"/>
    <w:rsid w:val="001918FE"/>
    <w:rsid w:val="001919F1"/>
    <w:rsid w:val="00191CA0"/>
    <w:rsid w:val="00191CB4"/>
    <w:rsid w:val="001932A0"/>
    <w:rsid w:val="00193BD3"/>
    <w:rsid w:val="00193BD4"/>
    <w:rsid w:val="00193EE1"/>
    <w:rsid w:val="001945A1"/>
    <w:rsid w:val="0019465F"/>
    <w:rsid w:val="001949CA"/>
    <w:rsid w:val="001952D6"/>
    <w:rsid w:val="0019536F"/>
    <w:rsid w:val="00195563"/>
    <w:rsid w:val="00195592"/>
    <w:rsid w:val="001955CE"/>
    <w:rsid w:val="00195671"/>
    <w:rsid w:val="00195D5B"/>
    <w:rsid w:val="00195FC1"/>
    <w:rsid w:val="00196207"/>
    <w:rsid w:val="00196ABA"/>
    <w:rsid w:val="00196E19"/>
    <w:rsid w:val="00197599"/>
    <w:rsid w:val="00197764"/>
    <w:rsid w:val="001978F1"/>
    <w:rsid w:val="001978FC"/>
    <w:rsid w:val="00197937"/>
    <w:rsid w:val="00197D48"/>
    <w:rsid w:val="00197DFC"/>
    <w:rsid w:val="00197E15"/>
    <w:rsid w:val="001A0054"/>
    <w:rsid w:val="001A0970"/>
    <w:rsid w:val="001A0A7C"/>
    <w:rsid w:val="001A0D4A"/>
    <w:rsid w:val="001A0F54"/>
    <w:rsid w:val="001A172C"/>
    <w:rsid w:val="001A1776"/>
    <w:rsid w:val="001A1C1C"/>
    <w:rsid w:val="001A1FFE"/>
    <w:rsid w:val="001A212D"/>
    <w:rsid w:val="001A22C6"/>
    <w:rsid w:val="001A2411"/>
    <w:rsid w:val="001A2499"/>
    <w:rsid w:val="001A27F0"/>
    <w:rsid w:val="001A293D"/>
    <w:rsid w:val="001A2D62"/>
    <w:rsid w:val="001A2FE7"/>
    <w:rsid w:val="001A324C"/>
    <w:rsid w:val="001A3686"/>
    <w:rsid w:val="001A3819"/>
    <w:rsid w:val="001A3B82"/>
    <w:rsid w:val="001A3DAF"/>
    <w:rsid w:val="001A51CE"/>
    <w:rsid w:val="001A5678"/>
    <w:rsid w:val="001A59FE"/>
    <w:rsid w:val="001A5CCD"/>
    <w:rsid w:val="001A6256"/>
    <w:rsid w:val="001A6393"/>
    <w:rsid w:val="001A6515"/>
    <w:rsid w:val="001A69B9"/>
    <w:rsid w:val="001A6DCB"/>
    <w:rsid w:val="001A731C"/>
    <w:rsid w:val="001A762A"/>
    <w:rsid w:val="001A77CB"/>
    <w:rsid w:val="001A7BFE"/>
    <w:rsid w:val="001A7D21"/>
    <w:rsid w:val="001B0513"/>
    <w:rsid w:val="001B0703"/>
    <w:rsid w:val="001B08CC"/>
    <w:rsid w:val="001B0BB2"/>
    <w:rsid w:val="001B0D8D"/>
    <w:rsid w:val="001B101F"/>
    <w:rsid w:val="001B1186"/>
    <w:rsid w:val="001B1384"/>
    <w:rsid w:val="001B16A7"/>
    <w:rsid w:val="001B1D83"/>
    <w:rsid w:val="001B1DA4"/>
    <w:rsid w:val="001B1E37"/>
    <w:rsid w:val="001B1E65"/>
    <w:rsid w:val="001B2055"/>
    <w:rsid w:val="001B210B"/>
    <w:rsid w:val="001B29E7"/>
    <w:rsid w:val="001B2FDD"/>
    <w:rsid w:val="001B35B1"/>
    <w:rsid w:val="001B3959"/>
    <w:rsid w:val="001B3B99"/>
    <w:rsid w:val="001B3BC2"/>
    <w:rsid w:val="001B3DC8"/>
    <w:rsid w:val="001B3FA1"/>
    <w:rsid w:val="001B435A"/>
    <w:rsid w:val="001B4903"/>
    <w:rsid w:val="001B4B9A"/>
    <w:rsid w:val="001B4C33"/>
    <w:rsid w:val="001B4D86"/>
    <w:rsid w:val="001B50F8"/>
    <w:rsid w:val="001B54DC"/>
    <w:rsid w:val="001B55D1"/>
    <w:rsid w:val="001B57D9"/>
    <w:rsid w:val="001B62A2"/>
    <w:rsid w:val="001B637F"/>
    <w:rsid w:val="001B6CB4"/>
    <w:rsid w:val="001B7224"/>
    <w:rsid w:val="001B72B8"/>
    <w:rsid w:val="001B7A4A"/>
    <w:rsid w:val="001B7BB0"/>
    <w:rsid w:val="001B7F32"/>
    <w:rsid w:val="001C081B"/>
    <w:rsid w:val="001C0B84"/>
    <w:rsid w:val="001C0BE8"/>
    <w:rsid w:val="001C0EA7"/>
    <w:rsid w:val="001C1010"/>
    <w:rsid w:val="001C1034"/>
    <w:rsid w:val="001C124D"/>
    <w:rsid w:val="001C150F"/>
    <w:rsid w:val="001C1A82"/>
    <w:rsid w:val="001C1E80"/>
    <w:rsid w:val="001C1F10"/>
    <w:rsid w:val="001C266C"/>
    <w:rsid w:val="001C2768"/>
    <w:rsid w:val="001C2B86"/>
    <w:rsid w:val="001C2D42"/>
    <w:rsid w:val="001C2D5C"/>
    <w:rsid w:val="001C2DA5"/>
    <w:rsid w:val="001C2F51"/>
    <w:rsid w:val="001C312D"/>
    <w:rsid w:val="001C3236"/>
    <w:rsid w:val="001C3283"/>
    <w:rsid w:val="001C3403"/>
    <w:rsid w:val="001C3A81"/>
    <w:rsid w:val="001C3BE7"/>
    <w:rsid w:val="001C3D8C"/>
    <w:rsid w:val="001C41B6"/>
    <w:rsid w:val="001C4402"/>
    <w:rsid w:val="001C4504"/>
    <w:rsid w:val="001C47D4"/>
    <w:rsid w:val="001C4880"/>
    <w:rsid w:val="001C4A7A"/>
    <w:rsid w:val="001C5154"/>
    <w:rsid w:val="001C52BE"/>
    <w:rsid w:val="001C53D3"/>
    <w:rsid w:val="001C54A6"/>
    <w:rsid w:val="001C55A0"/>
    <w:rsid w:val="001C5973"/>
    <w:rsid w:val="001C59E6"/>
    <w:rsid w:val="001C670F"/>
    <w:rsid w:val="001C69A5"/>
    <w:rsid w:val="001C6ACD"/>
    <w:rsid w:val="001C6CFF"/>
    <w:rsid w:val="001C6D49"/>
    <w:rsid w:val="001C7016"/>
    <w:rsid w:val="001C706C"/>
    <w:rsid w:val="001C7D3E"/>
    <w:rsid w:val="001C7D41"/>
    <w:rsid w:val="001D0169"/>
    <w:rsid w:val="001D04F3"/>
    <w:rsid w:val="001D04FD"/>
    <w:rsid w:val="001D0E39"/>
    <w:rsid w:val="001D0E43"/>
    <w:rsid w:val="001D0FCB"/>
    <w:rsid w:val="001D117E"/>
    <w:rsid w:val="001D128D"/>
    <w:rsid w:val="001D12E4"/>
    <w:rsid w:val="001D1DCC"/>
    <w:rsid w:val="001D21A9"/>
    <w:rsid w:val="001D221D"/>
    <w:rsid w:val="001D2325"/>
    <w:rsid w:val="001D23E3"/>
    <w:rsid w:val="001D23F6"/>
    <w:rsid w:val="001D26A0"/>
    <w:rsid w:val="001D279B"/>
    <w:rsid w:val="001D2E71"/>
    <w:rsid w:val="001D328F"/>
    <w:rsid w:val="001D32F5"/>
    <w:rsid w:val="001D3881"/>
    <w:rsid w:val="001D3B43"/>
    <w:rsid w:val="001D3EA7"/>
    <w:rsid w:val="001D42BE"/>
    <w:rsid w:val="001D46DB"/>
    <w:rsid w:val="001D4E53"/>
    <w:rsid w:val="001D4F4F"/>
    <w:rsid w:val="001D54F6"/>
    <w:rsid w:val="001D5540"/>
    <w:rsid w:val="001D5897"/>
    <w:rsid w:val="001D5DDD"/>
    <w:rsid w:val="001D5E3D"/>
    <w:rsid w:val="001D5E83"/>
    <w:rsid w:val="001D5FC5"/>
    <w:rsid w:val="001D6087"/>
    <w:rsid w:val="001D622F"/>
    <w:rsid w:val="001D6B5E"/>
    <w:rsid w:val="001D6D8A"/>
    <w:rsid w:val="001D702D"/>
    <w:rsid w:val="001D70D2"/>
    <w:rsid w:val="001D715D"/>
    <w:rsid w:val="001D788E"/>
    <w:rsid w:val="001D7C1B"/>
    <w:rsid w:val="001D7E87"/>
    <w:rsid w:val="001D7F1B"/>
    <w:rsid w:val="001D7FA9"/>
    <w:rsid w:val="001E03CF"/>
    <w:rsid w:val="001E041E"/>
    <w:rsid w:val="001E0427"/>
    <w:rsid w:val="001E04C5"/>
    <w:rsid w:val="001E0515"/>
    <w:rsid w:val="001E07CA"/>
    <w:rsid w:val="001E0996"/>
    <w:rsid w:val="001E09C2"/>
    <w:rsid w:val="001E0A2B"/>
    <w:rsid w:val="001E0FA0"/>
    <w:rsid w:val="001E1503"/>
    <w:rsid w:val="001E1845"/>
    <w:rsid w:val="001E1973"/>
    <w:rsid w:val="001E1CCB"/>
    <w:rsid w:val="001E1CE8"/>
    <w:rsid w:val="001E221A"/>
    <w:rsid w:val="001E28C2"/>
    <w:rsid w:val="001E28F9"/>
    <w:rsid w:val="001E2DAE"/>
    <w:rsid w:val="001E2E14"/>
    <w:rsid w:val="001E2EA7"/>
    <w:rsid w:val="001E32F8"/>
    <w:rsid w:val="001E38B8"/>
    <w:rsid w:val="001E3D06"/>
    <w:rsid w:val="001E3ED4"/>
    <w:rsid w:val="001E3F18"/>
    <w:rsid w:val="001E403E"/>
    <w:rsid w:val="001E40AD"/>
    <w:rsid w:val="001E4E0D"/>
    <w:rsid w:val="001E5096"/>
    <w:rsid w:val="001E5304"/>
    <w:rsid w:val="001E535E"/>
    <w:rsid w:val="001E5462"/>
    <w:rsid w:val="001E54A8"/>
    <w:rsid w:val="001E5512"/>
    <w:rsid w:val="001E58AC"/>
    <w:rsid w:val="001E5BF2"/>
    <w:rsid w:val="001E5E65"/>
    <w:rsid w:val="001E5FF0"/>
    <w:rsid w:val="001E603F"/>
    <w:rsid w:val="001E60C8"/>
    <w:rsid w:val="001E619B"/>
    <w:rsid w:val="001E61D0"/>
    <w:rsid w:val="001E632F"/>
    <w:rsid w:val="001E672B"/>
    <w:rsid w:val="001E6B43"/>
    <w:rsid w:val="001E6B76"/>
    <w:rsid w:val="001E71AB"/>
    <w:rsid w:val="001E7433"/>
    <w:rsid w:val="001E74EF"/>
    <w:rsid w:val="001E7DFB"/>
    <w:rsid w:val="001E7FE8"/>
    <w:rsid w:val="001F09C2"/>
    <w:rsid w:val="001F0A12"/>
    <w:rsid w:val="001F0FBD"/>
    <w:rsid w:val="001F1276"/>
    <w:rsid w:val="001F141C"/>
    <w:rsid w:val="001F1559"/>
    <w:rsid w:val="001F1BED"/>
    <w:rsid w:val="001F1D8C"/>
    <w:rsid w:val="001F1FA6"/>
    <w:rsid w:val="001F2100"/>
    <w:rsid w:val="001F2324"/>
    <w:rsid w:val="001F2463"/>
    <w:rsid w:val="001F2651"/>
    <w:rsid w:val="001F312F"/>
    <w:rsid w:val="001F33CF"/>
    <w:rsid w:val="001F34D5"/>
    <w:rsid w:val="001F36FB"/>
    <w:rsid w:val="001F3836"/>
    <w:rsid w:val="001F3EB9"/>
    <w:rsid w:val="001F44F3"/>
    <w:rsid w:val="001F4F92"/>
    <w:rsid w:val="001F527D"/>
    <w:rsid w:val="001F55DC"/>
    <w:rsid w:val="001F5791"/>
    <w:rsid w:val="001F585E"/>
    <w:rsid w:val="001F5A33"/>
    <w:rsid w:val="001F5BF5"/>
    <w:rsid w:val="001F5C41"/>
    <w:rsid w:val="001F5F6A"/>
    <w:rsid w:val="001F60D3"/>
    <w:rsid w:val="001F6366"/>
    <w:rsid w:val="001F6387"/>
    <w:rsid w:val="001F67FD"/>
    <w:rsid w:val="001F6963"/>
    <w:rsid w:val="001F6E99"/>
    <w:rsid w:val="001F7555"/>
    <w:rsid w:val="001F7895"/>
    <w:rsid w:val="001F7910"/>
    <w:rsid w:val="001F79CA"/>
    <w:rsid w:val="001F7C14"/>
    <w:rsid w:val="001F7CD8"/>
    <w:rsid w:val="0020018F"/>
    <w:rsid w:val="0020037A"/>
    <w:rsid w:val="002003EE"/>
    <w:rsid w:val="00200742"/>
    <w:rsid w:val="00200907"/>
    <w:rsid w:val="00200A14"/>
    <w:rsid w:val="00200E46"/>
    <w:rsid w:val="00200F6D"/>
    <w:rsid w:val="00200F75"/>
    <w:rsid w:val="00200FDC"/>
    <w:rsid w:val="002010F7"/>
    <w:rsid w:val="0020130D"/>
    <w:rsid w:val="002015DF"/>
    <w:rsid w:val="00201655"/>
    <w:rsid w:val="00201A72"/>
    <w:rsid w:val="00202209"/>
    <w:rsid w:val="002027EB"/>
    <w:rsid w:val="002029D0"/>
    <w:rsid w:val="002032F1"/>
    <w:rsid w:val="002034F5"/>
    <w:rsid w:val="00203D01"/>
    <w:rsid w:val="002047A2"/>
    <w:rsid w:val="002049EB"/>
    <w:rsid w:val="00204A5D"/>
    <w:rsid w:val="00204B43"/>
    <w:rsid w:val="00204F95"/>
    <w:rsid w:val="0020505E"/>
    <w:rsid w:val="00205122"/>
    <w:rsid w:val="002055CA"/>
    <w:rsid w:val="002057A5"/>
    <w:rsid w:val="002057F8"/>
    <w:rsid w:val="00205BD1"/>
    <w:rsid w:val="0020664D"/>
    <w:rsid w:val="00206804"/>
    <w:rsid w:val="002069B8"/>
    <w:rsid w:val="00206FB5"/>
    <w:rsid w:val="002076D2"/>
    <w:rsid w:val="00207743"/>
    <w:rsid w:val="002079A1"/>
    <w:rsid w:val="002079D9"/>
    <w:rsid w:val="00207B17"/>
    <w:rsid w:val="00207B1A"/>
    <w:rsid w:val="00207D27"/>
    <w:rsid w:val="00210105"/>
    <w:rsid w:val="00210601"/>
    <w:rsid w:val="00210872"/>
    <w:rsid w:val="00210E6B"/>
    <w:rsid w:val="0021101B"/>
    <w:rsid w:val="0021111B"/>
    <w:rsid w:val="002113D7"/>
    <w:rsid w:val="002117D1"/>
    <w:rsid w:val="00211CA3"/>
    <w:rsid w:val="00211D0C"/>
    <w:rsid w:val="00211E39"/>
    <w:rsid w:val="00211FE9"/>
    <w:rsid w:val="002124E5"/>
    <w:rsid w:val="002126C4"/>
    <w:rsid w:val="002126D3"/>
    <w:rsid w:val="002129D2"/>
    <w:rsid w:val="002129F3"/>
    <w:rsid w:val="00212DD4"/>
    <w:rsid w:val="00212EFD"/>
    <w:rsid w:val="00213353"/>
    <w:rsid w:val="00213817"/>
    <w:rsid w:val="00213AC6"/>
    <w:rsid w:val="002143A3"/>
    <w:rsid w:val="00214523"/>
    <w:rsid w:val="0021464A"/>
    <w:rsid w:val="00214B74"/>
    <w:rsid w:val="00214CEF"/>
    <w:rsid w:val="00214EC4"/>
    <w:rsid w:val="00214FD2"/>
    <w:rsid w:val="0021558A"/>
    <w:rsid w:val="002155B2"/>
    <w:rsid w:val="0021599A"/>
    <w:rsid w:val="0021599B"/>
    <w:rsid w:val="00215A3B"/>
    <w:rsid w:val="00215B17"/>
    <w:rsid w:val="00215C13"/>
    <w:rsid w:val="002167E2"/>
    <w:rsid w:val="002168B5"/>
    <w:rsid w:val="00216E51"/>
    <w:rsid w:val="00216F76"/>
    <w:rsid w:val="00217132"/>
    <w:rsid w:val="002174FC"/>
    <w:rsid w:val="002177E5"/>
    <w:rsid w:val="00217830"/>
    <w:rsid w:val="00217AD6"/>
    <w:rsid w:val="00217EA0"/>
    <w:rsid w:val="00217EE1"/>
    <w:rsid w:val="00217F1E"/>
    <w:rsid w:val="00220034"/>
    <w:rsid w:val="0022035C"/>
    <w:rsid w:val="00220718"/>
    <w:rsid w:val="002208C0"/>
    <w:rsid w:val="00220B5D"/>
    <w:rsid w:val="00221023"/>
    <w:rsid w:val="00221A93"/>
    <w:rsid w:val="00222895"/>
    <w:rsid w:val="00222C62"/>
    <w:rsid w:val="00222F42"/>
    <w:rsid w:val="00222FD4"/>
    <w:rsid w:val="00223252"/>
    <w:rsid w:val="0022334A"/>
    <w:rsid w:val="00223384"/>
    <w:rsid w:val="00223535"/>
    <w:rsid w:val="0022357C"/>
    <w:rsid w:val="002248F8"/>
    <w:rsid w:val="0022514E"/>
    <w:rsid w:val="00225E53"/>
    <w:rsid w:val="00225F05"/>
    <w:rsid w:val="00225F48"/>
    <w:rsid w:val="002263E3"/>
    <w:rsid w:val="00226528"/>
    <w:rsid w:val="0022690B"/>
    <w:rsid w:val="00226950"/>
    <w:rsid w:val="00226A85"/>
    <w:rsid w:val="00226D15"/>
    <w:rsid w:val="00226FF0"/>
    <w:rsid w:val="0022704E"/>
    <w:rsid w:val="002274C5"/>
    <w:rsid w:val="00227537"/>
    <w:rsid w:val="00227775"/>
    <w:rsid w:val="002278A0"/>
    <w:rsid w:val="00227990"/>
    <w:rsid w:val="00227B01"/>
    <w:rsid w:val="00227E02"/>
    <w:rsid w:val="00227E56"/>
    <w:rsid w:val="002304D2"/>
    <w:rsid w:val="00230988"/>
    <w:rsid w:val="00230CFC"/>
    <w:rsid w:val="00230D46"/>
    <w:rsid w:val="00230D61"/>
    <w:rsid w:val="00230F5E"/>
    <w:rsid w:val="00231005"/>
    <w:rsid w:val="002312D2"/>
    <w:rsid w:val="00231601"/>
    <w:rsid w:val="00231AE1"/>
    <w:rsid w:val="00232977"/>
    <w:rsid w:val="002329F1"/>
    <w:rsid w:val="00232B0A"/>
    <w:rsid w:val="00233591"/>
    <w:rsid w:val="00233A6C"/>
    <w:rsid w:val="00233B30"/>
    <w:rsid w:val="00233EB7"/>
    <w:rsid w:val="00234479"/>
    <w:rsid w:val="00234697"/>
    <w:rsid w:val="002346A9"/>
    <w:rsid w:val="00234A5C"/>
    <w:rsid w:val="00234B2C"/>
    <w:rsid w:val="0023562A"/>
    <w:rsid w:val="00235DE0"/>
    <w:rsid w:val="002363F9"/>
    <w:rsid w:val="00236646"/>
    <w:rsid w:val="00236771"/>
    <w:rsid w:val="0023693B"/>
    <w:rsid w:val="00236990"/>
    <w:rsid w:val="00236FBE"/>
    <w:rsid w:val="0023721F"/>
    <w:rsid w:val="00237543"/>
    <w:rsid w:val="00237B60"/>
    <w:rsid w:val="00237F4F"/>
    <w:rsid w:val="0024029B"/>
    <w:rsid w:val="002404D5"/>
    <w:rsid w:val="00240711"/>
    <w:rsid w:val="0024094F"/>
    <w:rsid w:val="00240993"/>
    <w:rsid w:val="002409B8"/>
    <w:rsid w:val="00240A79"/>
    <w:rsid w:val="00240BAB"/>
    <w:rsid w:val="00240C6E"/>
    <w:rsid w:val="00240EAB"/>
    <w:rsid w:val="002410DB"/>
    <w:rsid w:val="00241465"/>
    <w:rsid w:val="00241818"/>
    <w:rsid w:val="00241C1B"/>
    <w:rsid w:val="00241D44"/>
    <w:rsid w:val="00241EF1"/>
    <w:rsid w:val="0024212D"/>
    <w:rsid w:val="0024232C"/>
    <w:rsid w:val="0024236B"/>
    <w:rsid w:val="00242553"/>
    <w:rsid w:val="002427C0"/>
    <w:rsid w:val="00242D13"/>
    <w:rsid w:val="00242D37"/>
    <w:rsid w:val="00242E2E"/>
    <w:rsid w:val="00243140"/>
    <w:rsid w:val="002434C8"/>
    <w:rsid w:val="002436A9"/>
    <w:rsid w:val="0024383D"/>
    <w:rsid w:val="0024391E"/>
    <w:rsid w:val="00243927"/>
    <w:rsid w:val="00243A91"/>
    <w:rsid w:val="00243B07"/>
    <w:rsid w:val="00243B5C"/>
    <w:rsid w:val="00243E4B"/>
    <w:rsid w:val="00243ED2"/>
    <w:rsid w:val="002443D7"/>
    <w:rsid w:val="002443F3"/>
    <w:rsid w:val="00244447"/>
    <w:rsid w:val="002444BB"/>
    <w:rsid w:val="00244946"/>
    <w:rsid w:val="00244A3E"/>
    <w:rsid w:val="00244C88"/>
    <w:rsid w:val="00244E6C"/>
    <w:rsid w:val="002453D6"/>
    <w:rsid w:val="0024563F"/>
    <w:rsid w:val="00245E50"/>
    <w:rsid w:val="00245FBA"/>
    <w:rsid w:val="00245FC4"/>
    <w:rsid w:val="00246449"/>
    <w:rsid w:val="002465C2"/>
    <w:rsid w:val="00246989"/>
    <w:rsid w:val="00246A96"/>
    <w:rsid w:val="00246E02"/>
    <w:rsid w:val="00246FD2"/>
    <w:rsid w:val="00247397"/>
    <w:rsid w:val="002477EF"/>
    <w:rsid w:val="00247977"/>
    <w:rsid w:val="00247A15"/>
    <w:rsid w:val="00247B9A"/>
    <w:rsid w:val="00250136"/>
    <w:rsid w:val="00250458"/>
    <w:rsid w:val="00250464"/>
    <w:rsid w:val="002508C4"/>
    <w:rsid w:val="00250924"/>
    <w:rsid w:val="00250B2E"/>
    <w:rsid w:val="00250B30"/>
    <w:rsid w:val="00250D40"/>
    <w:rsid w:val="002512F2"/>
    <w:rsid w:val="00251792"/>
    <w:rsid w:val="00251BE5"/>
    <w:rsid w:val="00251D83"/>
    <w:rsid w:val="002521C4"/>
    <w:rsid w:val="002523C2"/>
    <w:rsid w:val="002525F7"/>
    <w:rsid w:val="0025287B"/>
    <w:rsid w:val="0025348C"/>
    <w:rsid w:val="0025359C"/>
    <w:rsid w:val="00253AE2"/>
    <w:rsid w:val="00253E95"/>
    <w:rsid w:val="002544DE"/>
    <w:rsid w:val="00254E9A"/>
    <w:rsid w:val="00255199"/>
    <w:rsid w:val="00255338"/>
    <w:rsid w:val="00255397"/>
    <w:rsid w:val="00255C31"/>
    <w:rsid w:val="00255D8A"/>
    <w:rsid w:val="00255FEC"/>
    <w:rsid w:val="00256128"/>
    <w:rsid w:val="00256341"/>
    <w:rsid w:val="0025643A"/>
    <w:rsid w:val="002564A5"/>
    <w:rsid w:val="002565D1"/>
    <w:rsid w:val="0025683A"/>
    <w:rsid w:val="002568FD"/>
    <w:rsid w:val="00256D1E"/>
    <w:rsid w:val="00256F54"/>
    <w:rsid w:val="00257628"/>
    <w:rsid w:val="002578DA"/>
    <w:rsid w:val="002579CE"/>
    <w:rsid w:val="002579E0"/>
    <w:rsid w:val="00260023"/>
    <w:rsid w:val="002601B6"/>
    <w:rsid w:val="00260358"/>
    <w:rsid w:val="002603F1"/>
    <w:rsid w:val="00260633"/>
    <w:rsid w:val="00260644"/>
    <w:rsid w:val="00260A1B"/>
    <w:rsid w:val="00260C36"/>
    <w:rsid w:val="00261066"/>
    <w:rsid w:val="002612B7"/>
    <w:rsid w:val="0026131C"/>
    <w:rsid w:val="002614B4"/>
    <w:rsid w:val="00261684"/>
    <w:rsid w:val="002617C1"/>
    <w:rsid w:val="002619D0"/>
    <w:rsid w:val="002619DE"/>
    <w:rsid w:val="00261CF9"/>
    <w:rsid w:val="00261E84"/>
    <w:rsid w:val="00261E87"/>
    <w:rsid w:val="00262035"/>
    <w:rsid w:val="00263451"/>
    <w:rsid w:val="00263886"/>
    <w:rsid w:val="00263A0E"/>
    <w:rsid w:val="00263AC3"/>
    <w:rsid w:val="00263D66"/>
    <w:rsid w:val="002642AF"/>
    <w:rsid w:val="00264748"/>
    <w:rsid w:val="00264933"/>
    <w:rsid w:val="00264CDA"/>
    <w:rsid w:val="00264ECB"/>
    <w:rsid w:val="00265239"/>
    <w:rsid w:val="002653F6"/>
    <w:rsid w:val="0026596E"/>
    <w:rsid w:val="00265D3E"/>
    <w:rsid w:val="00265FA7"/>
    <w:rsid w:val="00266378"/>
    <w:rsid w:val="0026690F"/>
    <w:rsid w:val="00266A15"/>
    <w:rsid w:val="00266CC3"/>
    <w:rsid w:val="00266E4E"/>
    <w:rsid w:val="002672C7"/>
    <w:rsid w:val="002673B7"/>
    <w:rsid w:val="002674F7"/>
    <w:rsid w:val="002678AC"/>
    <w:rsid w:val="00267C16"/>
    <w:rsid w:val="0027025F"/>
    <w:rsid w:val="00270953"/>
    <w:rsid w:val="002709C2"/>
    <w:rsid w:val="00270A80"/>
    <w:rsid w:val="00270B00"/>
    <w:rsid w:val="00271290"/>
    <w:rsid w:val="0027141F"/>
    <w:rsid w:val="00271657"/>
    <w:rsid w:val="002719F2"/>
    <w:rsid w:val="00271F28"/>
    <w:rsid w:val="00272029"/>
    <w:rsid w:val="00272164"/>
    <w:rsid w:val="002727D6"/>
    <w:rsid w:val="00272870"/>
    <w:rsid w:val="002733EA"/>
    <w:rsid w:val="0027344F"/>
    <w:rsid w:val="002738A4"/>
    <w:rsid w:val="002738E8"/>
    <w:rsid w:val="00273ACF"/>
    <w:rsid w:val="00273CA5"/>
    <w:rsid w:val="00274343"/>
    <w:rsid w:val="0027451B"/>
    <w:rsid w:val="00274804"/>
    <w:rsid w:val="0027481F"/>
    <w:rsid w:val="00274BA9"/>
    <w:rsid w:val="00275214"/>
    <w:rsid w:val="0027527A"/>
    <w:rsid w:val="00275C68"/>
    <w:rsid w:val="00276060"/>
    <w:rsid w:val="002760ED"/>
    <w:rsid w:val="002760FF"/>
    <w:rsid w:val="00276593"/>
    <w:rsid w:val="00276668"/>
    <w:rsid w:val="00276742"/>
    <w:rsid w:val="00276922"/>
    <w:rsid w:val="00277285"/>
    <w:rsid w:val="00277760"/>
    <w:rsid w:val="0028030B"/>
    <w:rsid w:val="00280369"/>
    <w:rsid w:val="00280E9E"/>
    <w:rsid w:val="002811F1"/>
    <w:rsid w:val="002818B2"/>
    <w:rsid w:val="002818CD"/>
    <w:rsid w:val="002818D4"/>
    <w:rsid w:val="00281E7B"/>
    <w:rsid w:val="002823E2"/>
    <w:rsid w:val="00282458"/>
    <w:rsid w:val="00282610"/>
    <w:rsid w:val="00282787"/>
    <w:rsid w:val="002829A6"/>
    <w:rsid w:val="00282F77"/>
    <w:rsid w:val="002833DB"/>
    <w:rsid w:val="002834A2"/>
    <w:rsid w:val="0028383F"/>
    <w:rsid w:val="00283A2F"/>
    <w:rsid w:val="00283AFB"/>
    <w:rsid w:val="00283BC5"/>
    <w:rsid w:val="00283C99"/>
    <w:rsid w:val="00283D13"/>
    <w:rsid w:val="00283FD7"/>
    <w:rsid w:val="00284167"/>
    <w:rsid w:val="0028434B"/>
    <w:rsid w:val="00284568"/>
    <w:rsid w:val="002845DA"/>
    <w:rsid w:val="00284DE0"/>
    <w:rsid w:val="002850F2"/>
    <w:rsid w:val="002857AA"/>
    <w:rsid w:val="00285ACA"/>
    <w:rsid w:val="00286425"/>
    <w:rsid w:val="002868EB"/>
    <w:rsid w:val="00286A03"/>
    <w:rsid w:val="002872EB"/>
    <w:rsid w:val="00287E35"/>
    <w:rsid w:val="0029053E"/>
    <w:rsid w:val="002907BE"/>
    <w:rsid w:val="00290AC8"/>
    <w:rsid w:val="00290B8B"/>
    <w:rsid w:val="00290EA5"/>
    <w:rsid w:val="002913DA"/>
    <w:rsid w:val="0029151E"/>
    <w:rsid w:val="002917DD"/>
    <w:rsid w:val="00292004"/>
    <w:rsid w:val="002920D2"/>
    <w:rsid w:val="00292491"/>
    <w:rsid w:val="00292C53"/>
    <w:rsid w:val="00293176"/>
    <w:rsid w:val="002933DE"/>
    <w:rsid w:val="002938F2"/>
    <w:rsid w:val="00293C68"/>
    <w:rsid w:val="00293D09"/>
    <w:rsid w:val="00293E72"/>
    <w:rsid w:val="00293FBD"/>
    <w:rsid w:val="00294301"/>
    <w:rsid w:val="00294346"/>
    <w:rsid w:val="00294457"/>
    <w:rsid w:val="00294648"/>
    <w:rsid w:val="0029479E"/>
    <w:rsid w:val="002947C6"/>
    <w:rsid w:val="00294923"/>
    <w:rsid w:val="00294A20"/>
    <w:rsid w:val="00294B49"/>
    <w:rsid w:val="002954E7"/>
    <w:rsid w:val="002956C4"/>
    <w:rsid w:val="002958FE"/>
    <w:rsid w:val="00295AAB"/>
    <w:rsid w:val="00295B4F"/>
    <w:rsid w:val="00295BDB"/>
    <w:rsid w:val="0029634D"/>
    <w:rsid w:val="002967A0"/>
    <w:rsid w:val="002968B2"/>
    <w:rsid w:val="00296940"/>
    <w:rsid w:val="00296D59"/>
    <w:rsid w:val="00296FD2"/>
    <w:rsid w:val="00297160"/>
    <w:rsid w:val="00297685"/>
    <w:rsid w:val="0029792B"/>
    <w:rsid w:val="002A0551"/>
    <w:rsid w:val="002A06C7"/>
    <w:rsid w:val="002A0773"/>
    <w:rsid w:val="002A0864"/>
    <w:rsid w:val="002A08E9"/>
    <w:rsid w:val="002A0B88"/>
    <w:rsid w:val="002A0D78"/>
    <w:rsid w:val="002A0DCE"/>
    <w:rsid w:val="002A1221"/>
    <w:rsid w:val="002A13CD"/>
    <w:rsid w:val="002A15F3"/>
    <w:rsid w:val="002A1904"/>
    <w:rsid w:val="002A1A35"/>
    <w:rsid w:val="002A1A4B"/>
    <w:rsid w:val="002A1C40"/>
    <w:rsid w:val="002A24CD"/>
    <w:rsid w:val="002A255A"/>
    <w:rsid w:val="002A2665"/>
    <w:rsid w:val="002A29FC"/>
    <w:rsid w:val="002A2A31"/>
    <w:rsid w:val="002A2D84"/>
    <w:rsid w:val="002A2FDE"/>
    <w:rsid w:val="002A321F"/>
    <w:rsid w:val="002A354B"/>
    <w:rsid w:val="002A3954"/>
    <w:rsid w:val="002A3CD0"/>
    <w:rsid w:val="002A4044"/>
    <w:rsid w:val="002A421E"/>
    <w:rsid w:val="002A4A61"/>
    <w:rsid w:val="002A4BAF"/>
    <w:rsid w:val="002A5115"/>
    <w:rsid w:val="002A5E22"/>
    <w:rsid w:val="002A6022"/>
    <w:rsid w:val="002A6943"/>
    <w:rsid w:val="002A6B3D"/>
    <w:rsid w:val="002A6DB1"/>
    <w:rsid w:val="002A6E36"/>
    <w:rsid w:val="002A70E8"/>
    <w:rsid w:val="002A7DEB"/>
    <w:rsid w:val="002B0014"/>
    <w:rsid w:val="002B01FE"/>
    <w:rsid w:val="002B034B"/>
    <w:rsid w:val="002B05CF"/>
    <w:rsid w:val="002B10A8"/>
    <w:rsid w:val="002B1406"/>
    <w:rsid w:val="002B1751"/>
    <w:rsid w:val="002B17D6"/>
    <w:rsid w:val="002B1C29"/>
    <w:rsid w:val="002B209E"/>
    <w:rsid w:val="002B21B3"/>
    <w:rsid w:val="002B261C"/>
    <w:rsid w:val="002B277B"/>
    <w:rsid w:val="002B2800"/>
    <w:rsid w:val="002B2956"/>
    <w:rsid w:val="002B2A91"/>
    <w:rsid w:val="002B2AF4"/>
    <w:rsid w:val="002B3197"/>
    <w:rsid w:val="002B34FB"/>
    <w:rsid w:val="002B3774"/>
    <w:rsid w:val="002B38FD"/>
    <w:rsid w:val="002B3AAB"/>
    <w:rsid w:val="002B3D2D"/>
    <w:rsid w:val="002B445A"/>
    <w:rsid w:val="002B4AA2"/>
    <w:rsid w:val="002B50BE"/>
    <w:rsid w:val="002B5284"/>
    <w:rsid w:val="002B534F"/>
    <w:rsid w:val="002B57A1"/>
    <w:rsid w:val="002B57E3"/>
    <w:rsid w:val="002B5A32"/>
    <w:rsid w:val="002B5D9E"/>
    <w:rsid w:val="002B6072"/>
    <w:rsid w:val="002B61A8"/>
    <w:rsid w:val="002B63D0"/>
    <w:rsid w:val="002B640A"/>
    <w:rsid w:val="002B678D"/>
    <w:rsid w:val="002B6DCD"/>
    <w:rsid w:val="002B7155"/>
    <w:rsid w:val="002B7247"/>
    <w:rsid w:val="002C012E"/>
    <w:rsid w:val="002C0944"/>
    <w:rsid w:val="002C0BD1"/>
    <w:rsid w:val="002C107B"/>
    <w:rsid w:val="002C147E"/>
    <w:rsid w:val="002C1A06"/>
    <w:rsid w:val="002C1AF1"/>
    <w:rsid w:val="002C1D7C"/>
    <w:rsid w:val="002C1E1D"/>
    <w:rsid w:val="002C1E4E"/>
    <w:rsid w:val="002C1F54"/>
    <w:rsid w:val="002C20A9"/>
    <w:rsid w:val="002C26FA"/>
    <w:rsid w:val="002C2A73"/>
    <w:rsid w:val="002C3255"/>
    <w:rsid w:val="002C325A"/>
    <w:rsid w:val="002C3382"/>
    <w:rsid w:val="002C3890"/>
    <w:rsid w:val="002C39C5"/>
    <w:rsid w:val="002C3A7F"/>
    <w:rsid w:val="002C4311"/>
    <w:rsid w:val="002C4353"/>
    <w:rsid w:val="002C443F"/>
    <w:rsid w:val="002C44AA"/>
    <w:rsid w:val="002C45AD"/>
    <w:rsid w:val="002C48E1"/>
    <w:rsid w:val="002C53F5"/>
    <w:rsid w:val="002C5401"/>
    <w:rsid w:val="002C555E"/>
    <w:rsid w:val="002C5ADF"/>
    <w:rsid w:val="002C5BAE"/>
    <w:rsid w:val="002C5DD6"/>
    <w:rsid w:val="002C649B"/>
    <w:rsid w:val="002C6500"/>
    <w:rsid w:val="002C6596"/>
    <w:rsid w:val="002C67D0"/>
    <w:rsid w:val="002C69F3"/>
    <w:rsid w:val="002C6A26"/>
    <w:rsid w:val="002C6A48"/>
    <w:rsid w:val="002C6F1B"/>
    <w:rsid w:val="002C703C"/>
    <w:rsid w:val="002C70F8"/>
    <w:rsid w:val="002C7214"/>
    <w:rsid w:val="002C7246"/>
    <w:rsid w:val="002C7B46"/>
    <w:rsid w:val="002C7BF2"/>
    <w:rsid w:val="002D02FE"/>
    <w:rsid w:val="002D07A3"/>
    <w:rsid w:val="002D0DE0"/>
    <w:rsid w:val="002D0DE2"/>
    <w:rsid w:val="002D127B"/>
    <w:rsid w:val="002D135B"/>
    <w:rsid w:val="002D1973"/>
    <w:rsid w:val="002D1A38"/>
    <w:rsid w:val="002D1B31"/>
    <w:rsid w:val="002D1B84"/>
    <w:rsid w:val="002D2363"/>
    <w:rsid w:val="002D28DE"/>
    <w:rsid w:val="002D29A2"/>
    <w:rsid w:val="002D2B88"/>
    <w:rsid w:val="002D2CCC"/>
    <w:rsid w:val="002D2EEE"/>
    <w:rsid w:val="002D3280"/>
    <w:rsid w:val="002D32EA"/>
    <w:rsid w:val="002D3553"/>
    <w:rsid w:val="002D3A01"/>
    <w:rsid w:val="002D443D"/>
    <w:rsid w:val="002D44A3"/>
    <w:rsid w:val="002D4674"/>
    <w:rsid w:val="002D4C96"/>
    <w:rsid w:val="002D4D63"/>
    <w:rsid w:val="002D554B"/>
    <w:rsid w:val="002D59C7"/>
    <w:rsid w:val="002D5EA5"/>
    <w:rsid w:val="002D644C"/>
    <w:rsid w:val="002D674C"/>
    <w:rsid w:val="002D68FD"/>
    <w:rsid w:val="002D69AA"/>
    <w:rsid w:val="002D6E36"/>
    <w:rsid w:val="002D6FF2"/>
    <w:rsid w:val="002D717B"/>
    <w:rsid w:val="002D738D"/>
    <w:rsid w:val="002D74B1"/>
    <w:rsid w:val="002D7619"/>
    <w:rsid w:val="002D779E"/>
    <w:rsid w:val="002D77C5"/>
    <w:rsid w:val="002D7868"/>
    <w:rsid w:val="002E0087"/>
    <w:rsid w:val="002E04FD"/>
    <w:rsid w:val="002E08DE"/>
    <w:rsid w:val="002E0968"/>
    <w:rsid w:val="002E0A8E"/>
    <w:rsid w:val="002E0EA4"/>
    <w:rsid w:val="002E1054"/>
    <w:rsid w:val="002E1065"/>
    <w:rsid w:val="002E1519"/>
    <w:rsid w:val="002E15EC"/>
    <w:rsid w:val="002E161A"/>
    <w:rsid w:val="002E179D"/>
    <w:rsid w:val="002E1A7C"/>
    <w:rsid w:val="002E202F"/>
    <w:rsid w:val="002E20CF"/>
    <w:rsid w:val="002E2CBB"/>
    <w:rsid w:val="002E2D00"/>
    <w:rsid w:val="002E33FF"/>
    <w:rsid w:val="002E36D3"/>
    <w:rsid w:val="002E3727"/>
    <w:rsid w:val="002E40C3"/>
    <w:rsid w:val="002E42B5"/>
    <w:rsid w:val="002E4A83"/>
    <w:rsid w:val="002E4B02"/>
    <w:rsid w:val="002E4F76"/>
    <w:rsid w:val="002E506B"/>
    <w:rsid w:val="002E54C9"/>
    <w:rsid w:val="002E56C8"/>
    <w:rsid w:val="002E5BC8"/>
    <w:rsid w:val="002E60B9"/>
    <w:rsid w:val="002E6284"/>
    <w:rsid w:val="002E640C"/>
    <w:rsid w:val="002E6426"/>
    <w:rsid w:val="002E6777"/>
    <w:rsid w:val="002E6AF1"/>
    <w:rsid w:val="002E6E7C"/>
    <w:rsid w:val="002E765C"/>
    <w:rsid w:val="002E7ADA"/>
    <w:rsid w:val="002E7EA6"/>
    <w:rsid w:val="002F003E"/>
    <w:rsid w:val="002F0C96"/>
    <w:rsid w:val="002F10CE"/>
    <w:rsid w:val="002F1CEB"/>
    <w:rsid w:val="002F213E"/>
    <w:rsid w:val="002F266E"/>
    <w:rsid w:val="002F27DB"/>
    <w:rsid w:val="002F2AA5"/>
    <w:rsid w:val="002F2AD9"/>
    <w:rsid w:val="002F32B2"/>
    <w:rsid w:val="002F33EC"/>
    <w:rsid w:val="002F3615"/>
    <w:rsid w:val="002F4239"/>
    <w:rsid w:val="002F432F"/>
    <w:rsid w:val="002F45C9"/>
    <w:rsid w:val="002F47C8"/>
    <w:rsid w:val="002F47FC"/>
    <w:rsid w:val="002F4A7B"/>
    <w:rsid w:val="002F4EDC"/>
    <w:rsid w:val="002F5445"/>
    <w:rsid w:val="002F5488"/>
    <w:rsid w:val="002F5591"/>
    <w:rsid w:val="002F5B64"/>
    <w:rsid w:val="002F6126"/>
    <w:rsid w:val="002F6754"/>
    <w:rsid w:val="002F6940"/>
    <w:rsid w:val="002F6E6A"/>
    <w:rsid w:val="002F6E86"/>
    <w:rsid w:val="002F6EDB"/>
    <w:rsid w:val="002F7339"/>
    <w:rsid w:val="002F77F4"/>
    <w:rsid w:val="002F78CE"/>
    <w:rsid w:val="0030005B"/>
    <w:rsid w:val="00300328"/>
    <w:rsid w:val="00300402"/>
    <w:rsid w:val="00300593"/>
    <w:rsid w:val="00300860"/>
    <w:rsid w:val="00301042"/>
    <w:rsid w:val="00301565"/>
    <w:rsid w:val="00302323"/>
    <w:rsid w:val="003023C8"/>
    <w:rsid w:val="003025FF"/>
    <w:rsid w:val="0030333E"/>
    <w:rsid w:val="003038BA"/>
    <w:rsid w:val="003038FE"/>
    <w:rsid w:val="00303C85"/>
    <w:rsid w:val="00303E97"/>
    <w:rsid w:val="0030400F"/>
    <w:rsid w:val="003042CE"/>
    <w:rsid w:val="0030458D"/>
    <w:rsid w:val="003048D0"/>
    <w:rsid w:val="00304E1D"/>
    <w:rsid w:val="00304E3E"/>
    <w:rsid w:val="00304F20"/>
    <w:rsid w:val="00305137"/>
    <w:rsid w:val="003052DC"/>
    <w:rsid w:val="0030568D"/>
    <w:rsid w:val="003059AC"/>
    <w:rsid w:val="00305A78"/>
    <w:rsid w:val="00305BEB"/>
    <w:rsid w:val="00305DF0"/>
    <w:rsid w:val="00305E3F"/>
    <w:rsid w:val="00306240"/>
    <w:rsid w:val="00306253"/>
    <w:rsid w:val="00306612"/>
    <w:rsid w:val="003067AE"/>
    <w:rsid w:val="003068AE"/>
    <w:rsid w:val="00306AC2"/>
    <w:rsid w:val="003070F1"/>
    <w:rsid w:val="003071D9"/>
    <w:rsid w:val="00307C6A"/>
    <w:rsid w:val="00307D1C"/>
    <w:rsid w:val="00307EE6"/>
    <w:rsid w:val="003104E3"/>
    <w:rsid w:val="00310692"/>
    <w:rsid w:val="003106DD"/>
    <w:rsid w:val="00310944"/>
    <w:rsid w:val="00310A64"/>
    <w:rsid w:val="00310B9C"/>
    <w:rsid w:val="00311082"/>
    <w:rsid w:val="00311170"/>
    <w:rsid w:val="003113D4"/>
    <w:rsid w:val="00312151"/>
    <w:rsid w:val="003121D9"/>
    <w:rsid w:val="00312545"/>
    <w:rsid w:val="00312763"/>
    <w:rsid w:val="003127D7"/>
    <w:rsid w:val="00312BC3"/>
    <w:rsid w:val="00312EB8"/>
    <w:rsid w:val="00313103"/>
    <w:rsid w:val="003132B1"/>
    <w:rsid w:val="00313421"/>
    <w:rsid w:val="00313497"/>
    <w:rsid w:val="00313565"/>
    <w:rsid w:val="003137DC"/>
    <w:rsid w:val="00313906"/>
    <w:rsid w:val="00313D7A"/>
    <w:rsid w:val="00313DCE"/>
    <w:rsid w:val="00313E6B"/>
    <w:rsid w:val="00313F55"/>
    <w:rsid w:val="0031415F"/>
    <w:rsid w:val="0031416F"/>
    <w:rsid w:val="003144C1"/>
    <w:rsid w:val="003145E6"/>
    <w:rsid w:val="003148B7"/>
    <w:rsid w:val="00315032"/>
    <w:rsid w:val="00315414"/>
    <w:rsid w:val="003157F1"/>
    <w:rsid w:val="003159A6"/>
    <w:rsid w:val="00315B40"/>
    <w:rsid w:val="00315D50"/>
    <w:rsid w:val="00315DD9"/>
    <w:rsid w:val="00316124"/>
    <w:rsid w:val="0031613E"/>
    <w:rsid w:val="00316550"/>
    <w:rsid w:val="00317044"/>
    <w:rsid w:val="003170C8"/>
    <w:rsid w:val="00317111"/>
    <w:rsid w:val="003173A6"/>
    <w:rsid w:val="003174D1"/>
    <w:rsid w:val="003174DA"/>
    <w:rsid w:val="0031756F"/>
    <w:rsid w:val="00317593"/>
    <w:rsid w:val="00317615"/>
    <w:rsid w:val="00317695"/>
    <w:rsid w:val="0031799A"/>
    <w:rsid w:val="00320156"/>
    <w:rsid w:val="003201B5"/>
    <w:rsid w:val="00320336"/>
    <w:rsid w:val="003205F7"/>
    <w:rsid w:val="00320953"/>
    <w:rsid w:val="003209BC"/>
    <w:rsid w:val="00320C94"/>
    <w:rsid w:val="00320E6C"/>
    <w:rsid w:val="00320F3D"/>
    <w:rsid w:val="00320F8C"/>
    <w:rsid w:val="00321A17"/>
    <w:rsid w:val="00321AF8"/>
    <w:rsid w:val="00321CD0"/>
    <w:rsid w:val="0032214A"/>
    <w:rsid w:val="003223E7"/>
    <w:rsid w:val="0032269B"/>
    <w:rsid w:val="003229B8"/>
    <w:rsid w:val="00323503"/>
    <w:rsid w:val="00323569"/>
    <w:rsid w:val="003237DD"/>
    <w:rsid w:val="00323847"/>
    <w:rsid w:val="00323A2D"/>
    <w:rsid w:val="00323B18"/>
    <w:rsid w:val="00323DAC"/>
    <w:rsid w:val="00323E55"/>
    <w:rsid w:val="00323E77"/>
    <w:rsid w:val="00324505"/>
    <w:rsid w:val="00324BDD"/>
    <w:rsid w:val="00324DDB"/>
    <w:rsid w:val="00324E33"/>
    <w:rsid w:val="00325068"/>
    <w:rsid w:val="00325AAB"/>
    <w:rsid w:val="00325B08"/>
    <w:rsid w:val="00325C9D"/>
    <w:rsid w:val="00326092"/>
    <w:rsid w:val="00326D15"/>
    <w:rsid w:val="00326FD0"/>
    <w:rsid w:val="00327242"/>
    <w:rsid w:val="00327409"/>
    <w:rsid w:val="00327668"/>
    <w:rsid w:val="00327669"/>
    <w:rsid w:val="0032779E"/>
    <w:rsid w:val="00327981"/>
    <w:rsid w:val="00330203"/>
    <w:rsid w:val="00330360"/>
    <w:rsid w:val="0033063D"/>
    <w:rsid w:val="00330A4A"/>
    <w:rsid w:val="00330B62"/>
    <w:rsid w:val="00330BC8"/>
    <w:rsid w:val="00330C4A"/>
    <w:rsid w:val="00330C9C"/>
    <w:rsid w:val="00330EF8"/>
    <w:rsid w:val="003310D9"/>
    <w:rsid w:val="00331177"/>
    <w:rsid w:val="0033148A"/>
    <w:rsid w:val="00331590"/>
    <w:rsid w:val="00331854"/>
    <w:rsid w:val="00331CA0"/>
    <w:rsid w:val="00331F86"/>
    <w:rsid w:val="003320CE"/>
    <w:rsid w:val="003325AE"/>
    <w:rsid w:val="0033278C"/>
    <w:rsid w:val="00332B15"/>
    <w:rsid w:val="00332B30"/>
    <w:rsid w:val="00332F5B"/>
    <w:rsid w:val="003330DC"/>
    <w:rsid w:val="0033359C"/>
    <w:rsid w:val="00333791"/>
    <w:rsid w:val="00333B49"/>
    <w:rsid w:val="00333C19"/>
    <w:rsid w:val="003341EE"/>
    <w:rsid w:val="00334251"/>
    <w:rsid w:val="003343D9"/>
    <w:rsid w:val="00334779"/>
    <w:rsid w:val="00334AC9"/>
    <w:rsid w:val="00334CA8"/>
    <w:rsid w:val="00334EDA"/>
    <w:rsid w:val="003358EF"/>
    <w:rsid w:val="00335AE5"/>
    <w:rsid w:val="00335D2F"/>
    <w:rsid w:val="00335D9A"/>
    <w:rsid w:val="0033656A"/>
    <w:rsid w:val="00336A2F"/>
    <w:rsid w:val="00337423"/>
    <w:rsid w:val="003375ED"/>
    <w:rsid w:val="003375FD"/>
    <w:rsid w:val="00337652"/>
    <w:rsid w:val="00337A2D"/>
    <w:rsid w:val="00337C57"/>
    <w:rsid w:val="00340175"/>
    <w:rsid w:val="00340441"/>
    <w:rsid w:val="003404E6"/>
    <w:rsid w:val="00340C59"/>
    <w:rsid w:val="00340FAF"/>
    <w:rsid w:val="00341135"/>
    <w:rsid w:val="00341519"/>
    <w:rsid w:val="003419F5"/>
    <w:rsid w:val="00341A4F"/>
    <w:rsid w:val="00341BA2"/>
    <w:rsid w:val="00341E11"/>
    <w:rsid w:val="00341EF2"/>
    <w:rsid w:val="00341FD1"/>
    <w:rsid w:val="0034217A"/>
    <w:rsid w:val="003421F9"/>
    <w:rsid w:val="00342536"/>
    <w:rsid w:val="00342C20"/>
    <w:rsid w:val="00342C7C"/>
    <w:rsid w:val="003431F6"/>
    <w:rsid w:val="00343201"/>
    <w:rsid w:val="00343275"/>
    <w:rsid w:val="00343789"/>
    <w:rsid w:val="003438B6"/>
    <w:rsid w:val="00343978"/>
    <w:rsid w:val="00343AE8"/>
    <w:rsid w:val="00343B03"/>
    <w:rsid w:val="00343B38"/>
    <w:rsid w:val="00344D45"/>
    <w:rsid w:val="00344E79"/>
    <w:rsid w:val="00344FBA"/>
    <w:rsid w:val="00345178"/>
    <w:rsid w:val="00345291"/>
    <w:rsid w:val="0034544A"/>
    <w:rsid w:val="00345B24"/>
    <w:rsid w:val="00346558"/>
    <w:rsid w:val="0034655B"/>
    <w:rsid w:val="003465AF"/>
    <w:rsid w:val="00346748"/>
    <w:rsid w:val="003467D2"/>
    <w:rsid w:val="00346DC3"/>
    <w:rsid w:val="00346FA3"/>
    <w:rsid w:val="003470E4"/>
    <w:rsid w:val="003473AE"/>
    <w:rsid w:val="0034745E"/>
    <w:rsid w:val="00347678"/>
    <w:rsid w:val="00347AA5"/>
    <w:rsid w:val="003501B3"/>
    <w:rsid w:val="0035074B"/>
    <w:rsid w:val="00350767"/>
    <w:rsid w:val="00351072"/>
    <w:rsid w:val="003514FF"/>
    <w:rsid w:val="003517AC"/>
    <w:rsid w:val="00351BD3"/>
    <w:rsid w:val="00351D00"/>
    <w:rsid w:val="00351DF8"/>
    <w:rsid w:val="00351E7D"/>
    <w:rsid w:val="00351E8A"/>
    <w:rsid w:val="0035209E"/>
    <w:rsid w:val="0035218F"/>
    <w:rsid w:val="003522CC"/>
    <w:rsid w:val="0035283D"/>
    <w:rsid w:val="00353101"/>
    <w:rsid w:val="00353243"/>
    <w:rsid w:val="00353323"/>
    <w:rsid w:val="00353B08"/>
    <w:rsid w:val="00353CA6"/>
    <w:rsid w:val="00354096"/>
    <w:rsid w:val="00354310"/>
    <w:rsid w:val="0035466B"/>
    <w:rsid w:val="003546C2"/>
    <w:rsid w:val="003548E7"/>
    <w:rsid w:val="00354D71"/>
    <w:rsid w:val="00354DCB"/>
    <w:rsid w:val="00354F97"/>
    <w:rsid w:val="00355104"/>
    <w:rsid w:val="003558C0"/>
    <w:rsid w:val="003558C5"/>
    <w:rsid w:val="003561AA"/>
    <w:rsid w:val="003569CA"/>
    <w:rsid w:val="003569E7"/>
    <w:rsid w:val="00356F52"/>
    <w:rsid w:val="0035791A"/>
    <w:rsid w:val="00357C58"/>
    <w:rsid w:val="00357ED1"/>
    <w:rsid w:val="0036014E"/>
    <w:rsid w:val="00360157"/>
    <w:rsid w:val="003607D9"/>
    <w:rsid w:val="00360C53"/>
    <w:rsid w:val="00361067"/>
    <w:rsid w:val="00361A78"/>
    <w:rsid w:val="00361E30"/>
    <w:rsid w:val="00361FDD"/>
    <w:rsid w:val="0036210C"/>
    <w:rsid w:val="003622A7"/>
    <w:rsid w:val="00362A6F"/>
    <w:rsid w:val="00362BB3"/>
    <w:rsid w:val="0036310E"/>
    <w:rsid w:val="00363541"/>
    <w:rsid w:val="00364366"/>
    <w:rsid w:val="003647A4"/>
    <w:rsid w:val="003647BA"/>
    <w:rsid w:val="00364834"/>
    <w:rsid w:val="00364F86"/>
    <w:rsid w:val="0036593E"/>
    <w:rsid w:val="00365D15"/>
    <w:rsid w:val="00365EA3"/>
    <w:rsid w:val="003660BC"/>
    <w:rsid w:val="00366ED1"/>
    <w:rsid w:val="00367161"/>
    <w:rsid w:val="0036755D"/>
    <w:rsid w:val="00367958"/>
    <w:rsid w:val="00367BA2"/>
    <w:rsid w:val="00367FE5"/>
    <w:rsid w:val="00370286"/>
    <w:rsid w:val="00370697"/>
    <w:rsid w:val="00370947"/>
    <w:rsid w:val="00370A6E"/>
    <w:rsid w:val="00370AE9"/>
    <w:rsid w:val="00370BBC"/>
    <w:rsid w:val="00371D7D"/>
    <w:rsid w:val="00371EFD"/>
    <w:rsid w:val="00371F8B"/>
    <w:rsid w:val="00371F8D"/>
    <w:rsid w:val="003720EF"/>
    <w:rsid w:val="0037223B"/>
    <w:rsid w:val="0037230B"/>
    <w:rsid w:val="003726D8"/>
    <w:rsid w:val="0037291C"/>
    <w:rsid w:val="00372E38"/>
    <w:rsid w:val="00372EAC"/>
    <w:rsid w:val="00372FD8"/>
    <w:rsid w:val="003739D7"/>
    <w:rsid w:val="00373BEF"/>
    <w:rsid w:val="00373F80"/>
    <w:rsid w:val="00374CEE"/>
    <w:rsid w:val="00374DEB"/>
    <w:rsid w:val="003754AC"/>
    <w:rsid w:val="003754C8"/>
    <w:rsid w:val="003758BC"/>
    <w:rsid w:val="00375BF5"/>
    <w:rsid w:val="00375D83"/>
    <w:rsid w:val="00375F6A"/>
    <w:rsid w:val="00375FD4"/>
    <w:rsid w:val="00375FD8"/>
    <w:rsid w:val="00376378"/>
    <w:rsid w:val="003763D6"/>
    <w:rsid w:val="0037641E"/>
    <w:rsid w:val="0037672E"/>
    <w:rsid w:val="00376EDB"/>
    <w:rsid w:val="00376FEE"/>
    <w:rsid w:val="003772CA"/>
    <w:rsid w:val="00377584"/>
    <w:rsid w:val="00377E39"/>
    <w:rsid w:val="00380181"/>
    <w:rsid w:val="003802F3"/>
    <w:rsid w:val="00380325"/>
    <w:rsid w:val="00380376"/>
    <w:rsid w:val="003805E7"/>
    <w:rsid w:val="0038092C"/>
    <w:rsid w:val="00380BEF"/>
    <w:rsid w:val="00380C94"/>
    <w:rsid w:val="00380D3C"/>
    <w:rsid w:val="003817AF"/>
    <w:rsid w:val="00381919"/>
    <w:rsid w:val="00381B0F"/>
    <w:rsid w:val="0038223C"/>
    <w:rsid w:val="003822B6"/>
    <w:rsid w:val="00382874"/>
    <w:rsid w:val="00382A26"/>
    <w:rsid w:val="00382D45"/>
    <w:rsid w:val="00382F22"/>
    <w:rsid w:val="00382FAC"/>
    <w:rsid w:val="00383384"/>
    <w:rsid w:val="00383667"/>
    <w:rsid w:val="003839CC"/>
    <w:rsid w:val="00383B38"/>
    <w:rsid w:val="00384987"/>
    <w:rsid w:val="00384B0E"/>
    <w:rsid w:val="00384C72"/>
    <w:rsid w:val="00384F34"/>
    <w:rsid w:val="0038523A"/>
    <w:rsid w:val="003852D1"/>
    <w:rsid w:val="003852E4"/>
    <w:rsid w:val="0038552D"/>
    <w:rsid w:val="0038596F"/>
    <w:rsid w:val="00386077"/>
    <w:rsid w:val="003863FF"/>
    <w:rsid w:val="00386CBB"/>
    <w:rsid w:val="00386D04"/>
    <w:rsid w:val="0038713A"/>
    <w:rsid w:val="003875EE"/>
    <w:rsid w:val="003876B6"/>
    <w:rsid w:val="0038779E"/>
    <w:rsid w:val="00387A54"/>
    <w:rsid w:val="00387D65"/>
    <w:rsid w:val="00390729"/>
    <w:rsid w:val="00390C41"/>
    <w:rsid w:val="00390F1F"/>
    <w:rsid w:val="00390FC4"/>
    <w:rsid w:val="00391138"/>
    <w:rsid w:val="00391597"/>
    <w:rsid w:val="0039168E"/>
    <w:rsid w:val="003918C3"/>
    <w:rsid w:val="00391C26"/>
    <w:rsid w:val="00391C42"/>
    <w:rsid w:val="00391E26"/>
    <w:rsid w:val="00391F65"/>
    <w:rsid w:val="0039205A"/>
    <w:rsid w:val="00392153"/>
    <w:rsid w:val="00392246"/>
    <w:rsid w:val="003928D9"/>
    <w:rsid w:val="003928DF"/>
    <w:rsid w:val="00392AA0"/>
    <w:rsid w:val="00392ACD"/>
    <w:rsid w:val="00392DD3"/>
    <w:rsid w:val="00392E61"/>
    <w:rsid w:val="00393A81"/>
    <w:rsid w:val="00393B21"/>
    <w:rsid w:val="00393D6B"/>
    <w:rsid w:val="00393DEE"/>
    <w:rsid w:val="00393FC3"/>
    <w:rsid w:val="0039438E"/>
    <w:rsid w:val="003945C6"/>
    <w:rsid w:val="00394ADF"/>
    <w:rsid w:val="00394EC4"/>
    <w:rsid w:val="00395030"/>
    <w:rsid w:val="00395193"/>
    <w:rsid w:val="00395258"/>
    <w:rsid w:val="00395601"/>
    <w:rsid w:val="00395838"/>
    <w:rsid w:val="00395ACA"/>
    <w:rsid w:val="00395BE7"/>
    <w:rsid w:val="0039604B"/>
    <w:rsid w:val="0039617F"/>
    <w:rsid w:val="003968F4"/>
    <w:rsid w:val="00396AE0"/>
    <w:rsid w:val="00396E32"/>
    <w:rsid w:val="003975B4"/>
    <w:rsid w:val="003977A7"/>
    <w:rsid w:val="0039783A"/>
    <w:rsid w:val="00397AA8"/>
    <w:rsid w:val="00397AF0"/>
    <w:rsid w:val="00397EB4"/>
    <w:rsid w:val="003A005F"/>
    <w:rsid w:val="003A0128"/>
    <w:rsid w:val="003A0264"/>
    <w:rsid w:val="003A026E"/>
    <w:rsid w:val="003A0730"/>
    <w:rsid w:val="003A0B71"/>
    <w:rsid w:val="003A0C8F"/>
    <w:rsid w:val="003A0E86"/>
    <w:rsid w:val="003A0EFA"/>
    <w:rsid w:val="003A1072"/>
    <w:rsid w:val="003A14C2"/>
    <w:rsid w:val="003A2B50"/>
    <w:rsid w:val="003A2E23"/>
    <w:rsid w:val="003A32A2"/>
    <w:rsid w:val="003A36BE"/>
    <w:rsid w:val="003A3FF2"/>
    <w:rsid w:val="003A4171"/>
    <w:rsid w:val="003A4424"/>
    <w:rsid w:val="003A45A5"/>
    <w:rsid w:val="003A4AAA"/>
    <w:rsid w:val="003A4BFD"/>
    <w:rsid w:val="003A4DE1"/>
    <w:rsid w:val="003A5185"/>
    <w:rsid w:val="003A5881"/>
    <w:rsid w:val="003A5D2B"/>
    <w:rsid w:val="003A5DE6"/>
    <w:rsid w:val="003A635D"/>
    <w:rsid w:val="003A664E"/>
    <w:rsid w:val="003A6BE5"/>
    <w:rsid w:val="003A6DA1"/>
    <w:rsid w:val="003A6E43"/>
    <w:rsid w:val="003A73A0"/>
    <w:rsid w:val="003A770D"/>
    <w:rsid w:val="003A7767"/>
    <w:rsid w:val="003A7805"/>
    <w:rsid w:val="003A7B15"/>
    <w:rsid w:val="003A7F2B"/>
    <w:rsid w:val="003B0D00"/>
    <w:rsid w:val="003B1C80"/>
    <w:rsid w:val="003B213E"/>
    <w:rsid w:val="003B2399"/>
    <w:rsid w:val="003B23D7"/>
    <w:rsid w:val="003B2BC7"/>
    <w:rsid w:val="003B2D95"/>
    <w:rsid w:val="003B3074"/>
    <w:rsid w:val="003B30E0"/>
    <w:rsid w:val="003B336E"/>
    <w:rsid w:val="003B4015"/>
    <w:rsid w:val="003B4192"/>
    <w:rsid w:val="003B46D2"/>
    <w:rsid w:val="003B48B8"/>
    <w:rsid w:val="003B48DF"/>
    <w:rsid w:val="003B497E"/>
    <w:rsid w:val="003B49A4"/>
    <w:rsid w:val="003B4A6D"/>
    <w:rsid w:val="003B51B0"/>
    <w:rsid w:val="003B54AE"/>
    <w:rsid w:val="003B5531"/>
    <w:rsid w:val="003B5686"/>
    <w:rsid w:val="003B58D2"/>
    <w:rsid w:val="003B5D2C"/>
    <w:rsid w:val="003B5D84"/>
    <w:rsid w:val="003B5E44"/>
    <w:rsid w:val="003B6212"/>
    <w:rsid w:val="003B64D1"/>
    <w:rsid w:val="003B685F"/>
    <w:rsid w:val="003B6C67"/>
    <w:rsid w:val="003B6D85"/>
    <w:rsid w:val="003B6EB1"/>
    <w:rsid w:val="003B6F71"/>
    <w:rsid w:val="003B7206"/>
    <w:rsid w:val="003B744A"/>
    <w:rsid w:val="003B75E3"/>
    <w:rsid w:val="003B7682"/>
    <w:rsid w:val="003B7C87"/>
    <w:rsid w:val="003C03AD"/>
    <w:rsid w:val="003C0416"/>
    <w:rsid w:val="003C0590"/>
    <w:rsid w:val="003C07E1"/>
    <w:rsid w:val="003C0843"/>
    <w:rsid w:val="003C084B"/>
    <w:rsid w:val="003C174F"/>
    <w:rsid w:val="003C181D"/>
    <w:rsid w:val="003C1859"/>
    <w:rsid w:val="003C1A82"/>
    <w:rsid w:val="003C1B02"/>
    <w:rsid w:val="003C1B16"/>
    <w:rsid w:val="003C1D32"/>
    <w:rsid w:val="003C1D90"/>
    <w:rsid w:val="003C1E42"/>
    <w:rsid w:val="003C1F14"/>
    <w:rsid w:val="003C2010"/>
    <w:rsid w:val="003C2300"/>
    <w:rsid w:val="003C29D8"/>
    <w:rsid w:val="003C2AD0"/>
    <w:rsid w:val="003C2B5A"/>
    <w:rsid w:val="003C3490"/>
    <w:rsid w:val="003C4168"/>
    <w:rsid w:val="003C4188"/>
    <w:rsid w:val="003C4225"/>
    <w:rsid w:val="003C44E9"/>
    <w:rsid w:val="003C4643"/>
    <w:rsid w:val="003C4710"/>
    <w:rsid w:val="003C4A29"/>
    <w:rsid w:val="003C4B90"/>
    <w:rsid w:val="003C4E80"/>
    <w:rsid w:val="003C4FB9"/>
    <w:rsid w:val="003C5214"/>
    <w:rsid w:val="003C5361"/>
    <w:rsid w:val="003C5B75"/>
    <w:rsid w:val="003C5D44"/>
    <w:rsid w:val="003C5F40"/>
    <w:rsid w:val="003C621A"/>
    <w:rsid w:val="003C678D"/>
    <w:rsid w:val="003C67CA"/>
    <w:rsid w:val="003C6BEE"/>
    <w:rsid w:val="003C6D34"/>
    <w:rsid w:val="003C6EA4"/>
    <w:rsid w:val="003C7195"/>
    <w:rsid w:val="003C74CE"/>
    <w:rsid w:val="003C7711"/>
    <w:rsid w:val="003C7ABA"/>
    <w:rsid w:val="003C7AC2"/>
    <w:rsid w:val="003C7F66"/>
    <w:rsid w:val="003D0112"/>
    <w:rsid w:val="003D0B54"/>
    <w:rsid w:val="003D13C6"/>
    <w:rsid w:val="003D14B6"/>
    <w:rsid w:val="003D16DF"/>
    <w:rsid w:val="003D19FD"/>
    <w:rsid w:val="003D23F7"/>
    <w:rsid w:val="003D27CA"/>
    <w:rsid w:val="003D2977"/>
    <w:rsid w:val="003D30EA"/>
    <w:rsid w:val="003D318A"/>
    <w:rsid w:val="003D3308"/>
    <w:rsid w:val="003D33EB"/>
    <w:rsid w:val="003D3420"/>
    <w:rsid w:val="003D398A"/>
    <w:rsid w:val="003D3A5F"/>
    <w:rsid w:val="003D3A74"/>
    <w:rsid w:val="003D3C38"/>
    <w:rsid w:val="003D41FC"/>
    <w:rsid w:val="003D457D"/>
    <w:rsid w:val="003D4683"/>
    <w:rsid w:val="003D4BAC"/>
    <w:rsid w:val="003D4C09"/>
    <w:rsid w:val="003D4E7F"/>
    <w:rsid w:val="003D5083"/>
    <w:rsid w:val="003D52EE"/>
    <w:rsid w:val="003D5A76"/>
    <w:rsid w:val="003D5CA4"/>
    <w:rsid w:val="003D5E4D"/>
    <w:rsid w:val="003D60A1"/>
    <w:rsid w:val="003D63C0"/>
    <w:rsid w:val="003D6BDF"/>
    <w:rsid w:val="003D6C65"/>
    <w:rsid w:val="003D74F1"/>
    <w:rsid w:val="003D7514"/>
    <w:rsid w:val="003D755E"/>
    <w:rsid w:val="003D75D9"/>
    <w:rsid w:val="003D7A62"/>
    <w:rsid w:val="003E0047"/>
    <w:rsid w:val="003E0205"/>
    <w:rsid w:val="003E066A"/>
    <w:rsid w:val="003E06F1"/>
    <w:rsid w:val="003E0803"/>
    <w:rsid w:val="003E10DE"/>
    <w:rsid w:val="003E1233"/>
    <w:rsid w:val="003E1847"/>
    <w:rsid w:val="003E1A54"/>
    <w:rsid w:val="003E1AA1"/>
    <w:rsid w:val="003E273D"/>
    <w:rsid w:val="003E2B3B"/>
    <w:rsid w:val="003E37F9"/>
    <w:rsid w:val="003E385E"/>
    <w:rsid w:val="003E39E8"/>
    <w:rsid w:val="003E3AA2"/>
    <w:rsid w:val="003E3F7A"/>
    <w:rsid w:val="003E412A"/>
    <w:rsid w:val="003E4383"/>
    <w:rsid w:val="003E4568"/>
    <w:rsid w:val="003E4654"/>
    <w:rsid w:val="003E528C"/>
    <w:rsid w:val="003E5333"/>
    <w:rsid w:val="003E56F6"/>
    <w:rsid w:val="003E5741"/>
    <w:rsid w:val="003E5752"/>
    <w:rsid w:val="003E5805"/>
    <w:rsid w:val="003E5A94"/>
    <w:rsid w:val="003E5B89"/>
    <w:rsid w:val="003E5D10"/>
    <w:rsid w:val="003E61EC"/>
    <w:rsid w:val="003E6285"/>
    <w:rsid w:val="003E63F2"/>
    <w:rsid w:val="003E6B3E"/>
    <w:rsid w:val="003E75BC"/>
    <w:rsid w:val="003E7781"/>
    <w:rsid w:val="003E7A89"/>
    <w:rsid w:val="003E7A8C"/>
    <w:rsid w:val="003E7B75"/>
    <w:rsid w:val="003F01A8"/>
    <w:rsid w:val="003F01C1"/>
    <w:rsid w:val="003F02DD"/>
    <w:rsid w:val="003F06D6"/>
    <w:rsid w:val="003F0809"/>
    <w:rsid w:val="003F0835"/>
    <w:rsid w:val="003F0865"/>
    <w:rsid w:val="003F09A2"/>
    <w:rsid w:val="003F1225"/>
    <w:rsid w:val="003F1362"/>
    <w:rsid w:val="003F14E3"/>
    <w:rsid w:val="003F1645"/>
    <w:rsid w:val="003F1AD0"/>
    <w:rsid w:val="003F1D19"/>
    <w:rsid w:val="003F25EE"/>
    <w:rsid w:val="003F2712"/>
    <w:rsid w:val="003F2789"/>
    <w:rsid w:val="003F2A4B"/>
    <w:rsid w:val="003F2A5A"/>
    <w:rsid w:val="003F2C0A"/>
    <w:rsid w:val="003F2DE9"/>
    <w:rsid w:val="003F33AD"/>
    <w:rsid w:val="003F38B0"/>
    <w:rsid w:val="003F3994"/>
    <w:rsid w:val="003F3BAE"/>
    <w:rsid w:val="003F3C74"/>
    <w:rsid w:val="003F3F35"/>
    <w:rsid w:val="003F41A3"/>
    <w:rsid w:val="003F4265"/>
    <w:rsid w:val="003F45F7"/>
    <w:rsid w:val="003F4656"/>
    <w:rsid w:val="003F484E"/>
    <w:rsid w:val="003F4AAD"/>
    <w:rsid w:val="003F4D23"/>
    <w:rsid w:val="003F4E7D"/>
    <w:rsid w:val="003F5331"/>
    <w:rsid w:val="003F5697"/>
    <w:rsid w:val="003F56AD"/>
    <w:rsid w:val="003F56F7"/>
    <w:rsid w:val="003F5A53"/>
    <w:rsid w:val="003F5B0B"/>
    <w:rsid w:val="003F5B95"/>
    <w:rsid w:val="003F5E0D"/>
    <w:rsid w:val="003F5F08"/>
    <w:rsid w:val="003F5F96"/>
    <w:rsid w:val="003F6260"/>
    <w:rsid w:val="003F6574"/>
    <w:rsid w:val="003F69E6"/>
    <w:rsid w:val="003F6A78"/>
    <w:rsid w:val="003F6C04"/>
    <w:rsid w:val="003F72D6"/>
    <w:rsid w:val="003F735C"/>
    <w:rsid w:val="003F7861"/>
    <w:rsid w:val="003F7A8F"/>
    <w:rsid w:val="0040013D"/>
    <w:rsid w:val="0040032F"/>
    <w:rsid w:val="00400645"/>
    <w:rsid w:val="004007B2"/>
    <w:rsid w:val="0040088F"/>
    <w:rsid w:val="00400B9E"/>
    <w:rsid w:val="00400D42"/>
    <w:rsid w:val="00400EB9"/>
    <w:rsid w:val="00400EBB"/>
    <w:rsid w:val="00400EDF"/>
    <w:rsid w:val="00401025"/>
    <w:rsid w:val="00401032"/>
    <w:rsid w:val="00401421"/>
    <w:rsid w:val="00402025"/>
    <w:rsid w:val="00402649"/>
    <w:rsid w:val="00402658"/>
    <w:rsid w:val="004029CD"/>
    <w:rsid w:val="00402C99"/>
    <w:rsid w:val="00403098"/>
    <w:rsid w:val="00403148"/>
    <w:rsid w:val="00403B1B"/>
    <w:rsid w:val="00403DA1"/>
    <w:rsid w:val="00403DD1"/>
    <w:rsid w:val="00403F07"/>
    <w:rsid w:val="004047C1"/>
    <w:rsid w:val="004048A8"/>
    <w:rsid w:val="00404A68"/>
    <w:rsid w:val="004051EC"/>
    <w:rsid w:val="0040537F"/>
    <w:rsid w:val="004059DA"/>
    <w:rsid w:val="00405CF7"/>
    <w:rsid w:val="0040610C"/>
    <w:rsid w:val="00406245"/>
    <w:rsid w:val="0040688A"/>
    <w:rsid w:val="00406899"/>
    <w:rsid w:val="00407AD1"/>
    <w:rsid w:val="004102CF"/>
    <w:rsid w:val="00410600"/>
    <w:rsid w:val="0041071B"/>
    <w:rsid w:val="00410944"/>
    <w:rsid w:val="00410D84"/>
    <w:rsid w:val="00410E51"/>
    <w:rsid w:val="004110E4"/>
    <w:rsid w:val="00411352"/>
    <w:rsid w:val="00411796"/>
    <w:rsid w:val="00411BD1"/>
    <w:rsid w:val="00411DEC"/>
    <w:rsid w:val="00411F42"/>
    <w:rsid w:val="00411F9B"/>
    <w:rsid w:val="004121FA"/>
    <w:rsid w:val="0041257F"/>
    <w:rsid w:val="00412B36"/>
    <w:rsid w:val="00413505"/>
    <w:rsid w:val="00413C62"/>
    <w:rsid w:val="00414310"/>
    <w:rsid w:val="004144B9"/>
    <w:rsid w:val="004145C0"/>
    <w:rsid w:val="0041481E"/>
    <w:rsid w:val="00414847"/>
    <w:rsid w:val="00414BF1"/>
    <w:rsid w:val="00414EC1"/>
    <w:rsid w:val="00414F56"/>
    <w:rsid w:val="0041503A"/>
    <w:rsid w:val="00415642"/>
    <w:rsid w:val="00415C93"/>
    <w:rsid w:val="0041665D"/>
    <w:rsid w:val="004167CD"/>
    <w:rsid w:val="00416FDB"/>
    <w:rsid w:val="00417215"/>
    <w:rsid w:val="004173A8"/>
    <w:rsid w:val="004175E0"/>
    <w:rsid w:val="004175E1"/>
    <w:rsid w:val="00417793"/>
    <w:rsid w:val="00417912"/>
    <w:rsid w:val="00417B8B"/>
    <w:rsid w:val="00417F10"/>
    <w:rsid w:val="00417FCF"/>
    <w:rsid w:val="00417FE5"/>
    <w:rsid w:val="004203E6"/>
    <w:rsid w:val="004205AF"/>
    <w:rsid w:val="00420795"/>
    <w:rsid w:val="0042093A"/>
    <w:rsid w:val="00420FA5"/>
    <w:rsid w:val="00420FBA"/>
    <w:rsid w:val="00421606"/>
    <w:rsid w:val="0042189C"/>
    <w:rsid w:val="00421A58"/>
    <w:rsid w:val="00421A99"/>
    <w:rsid w:val="00421AEE"/>
    <w:rsid w:val="00421BC0"/>
    <w:rsid w:val="00421BE3"/>
    <w:rsid w:val="00422116"/>
    <w:rsid w:val="004227DA"/>
    <w:rsid w:val="00422CFC"/>
    <w:rsid w:val="0042317E"/>
    <w:rsid w:val="00423218"/>
    <w:rsid w:val="0042337A"/>
    <w:rsid w:val="00423999"/>
    <w:rsid w:val="00423B20"/>
    <w:rsid w:val="00423E85"/>
    <w:rsid w:val="00423F21"/>
    <w:rsid w:val="00424241"/>
    <w:rsid w:val="0042431A"/>
    <w:rsid w:val="00424335"/>
    <w:rsid w:val="00424483"/>
    <w:rsid w:val="00424AF4"/>
    <w:rsid w:val="00424F53"/>
    <w:rsid w:val="004253FC"/>
    <w:rsid w:val="0042552D"/>
    <w:rsid w:val="00425604"/>
    <w:rsid w:val="00425BA0"/>
    <w:rsid w:val="00425D79"/>
    <w:rsid w:val="00425E59"/>
    <w:rsid w:val="0042624D"/>
    <w:rsid w:val="0042628E"/>
    <w:rsid w:val="004262A6"/>
    <w:rsid w:val="004262DE"/>
    <w:rsid w:val="0042647E"/>
    <w:rsid w:val="00426C3C"/>
    <w:rsid w:val="0042755A"/>
    <w:rsid w:val="004275EB"/>
    <w:rsid w:val="00427919"/>
    <w:rsid w:val="00427E24"/>
    <w:rsid w:val="004300D1"/>
    <w:rsid w:val="00430366"/>
    <w:rsid w:val="00430431"/>
    <w:rsid w:val="0043047D"/>
    <w:rsid w:val="00430C57"/>
    <w:rsid w:val="00430D2A"/>
    <w:rsid w:val="00430F0A"/>
    <w:rsid w:val="00430F0D"/>
    <w:rsid w:val="00431233"/>
    <w:rsid w:val="00431474"/>
    <w:rsid w:val="004319B5"/>
    <w:rsid w:val="00432231"/>
    <w:rsid w:val="00432486"/>
    <w:rsid w:val="0043280F"/>
    <w:rsid w:val="00432D4B"/>
    <w:rsid w:val="0043301A"/>
    <w:rsid w:val="00433184"/>
    <w:rsid w:val="00433456"/>
    <w:rsid w:val="004335A0"/>
    <w:rsid w:val="00434747"/>
    <w:rsid w:val="00434A84"/>
    <w:rsid w:val="00434D7D"/>
    <w:rsid w:val="0043506C"/>
    <w:rsid w:val="00435261"/>
    <w:rsid w:val="00435355"/>
    <w:rsid w:val="004353E1"/>
    <w:rsid w:val="004354CA"/>
    <w:rsid w:val="004355E5"/>
    <w:rsid w:val="0043590B"/>
    <w:rsid w:val="00435AFA"/>
    <w:rsid w:val="004362BC"/>
    <w:rsid w:val="0043652B"/>
    <w:rsid w:val="00436C17"/>
    <w:rsid w:val="00436D4F"/>
    <w:rsid w:val="00437BB2"/>
    <w:rsid w:val="00437F9F"/>
    <w:rsid w:val="004403C8"/>
    <w:rsid w:val="00440AD0"/>
    <w:rsid w:val="00440AD9"/>
    <w:rsid w:val="00440F43"/>
    <w:rsid w:val="004415D9"/>
    <w:rsid w:val="00441975"/>
    <w:rsid w:val="00441A86"/>
    <w:rsid w:val="00441E1F"/>
    <w:rsid w:val="00441EFD"/>
    <w:rsid w:val="004420E7"/>
    <w:rsid w:val="00442883"/>
    <w:rsid w:val="00442D9F"/>
    <w:rsid w:val="00442E11"/>
    <w:rsid w:val="004430DF"/>
    <w:rsid w:val="00443381"/>
    <w:rsid w:val="00443477"/>
    <w:rsid w:val="00443740"/>
    <w:rsid w:val="0044383B"/>
    <w:rsid w:val="00443A04"/>
    <w:rsid w:val="00443A7B"/>
    <w:rsid w:val="00443D8C"/>
    <w:rsid w:val="00443F8A"/>
    <w:rsid w:val="004445DD"/>
    <w:rsid w:val="00444880"/>
    <w:rsid w:val="00444CCB"/>
    <w:rsid w:val="00444CF2"/>
    <w:rsid w:val="00444F70"/>
    <w:rsid w:val="0044513D"/>
    <w:rsid w:val="004452A7"/>
    <w:rsid w:val="0044530C"/>
    <w:rsid w:val="0044531C"/>
    <w:rsid w:val="00445454"/>
    <w:rsid w:val="00445632"/>
    <w:rsid w:val="0044573C"/>
    <w:rsid w:val="00445AD8"/>
    <w:rsid w:val="00445C05"/>
    <w:rsid w:val="00445F33"/>
    <w:rsid w:val="00446050"/>
    <w:rsid w:val="004462FF"/>
    <w:rsid w:val="004464CA"/>
    <w:rsid w:val="00447112"/>
    <w:rsid w:val="004473A5"/>
    <w:rsid w:val="004473E6"/>
    <w:rsid w:val="004475EE"/>
    <w:rsid w:val="00447D37"/>
    <w:rsid w:val="00447EEC"/>
    <w:rsid w:val="0045023F"/>
    <w:rsid w:val="0045030E"/>
    <w:rsid w:val="004504A5"/>
    <w:rsid w:val="0045077C"/>
    <w:rsid w:val="00450844"/>
    <w:rsid w:val="00450EDF"/>
    <w:rsid w:val="00451351"/>
    <w:rsid w:val="00451811"/>
    <w:rsid w:val="00451966"/>
    <w:rsid w:val="00451AF0"/>
    <w:rsid w:val="00451C5E"/>
    <w:rsid w:val="00451CFA"/>
    <w:rsid w:val="004528B0"/>
    <w:rsid w:val="00452FA2"/>
    <w:rsid w:val="004532F1"/>
    <w:rsid w:val="00453C64"/>
    <w:rsid w:val="00453EA6"/>
    <w:rsid w:val="0045457A"/>
    <w:rsid w:val="0045482D"/>
    <w:rsid w:val="00454845"/>
    <w:rsid w:val="00454DD5"/>
    <w:rsid w:val="004557FC"/>
    <w:rsid w:val="00455851"/>
    <w:rsid w:val="004558D4"/>
    <w:rsid w:val="00456268"/>
    <w:rsid w:val="004562FC"/>
    <w:rsid w:val="004563F6"/>
    <w:rsid w:val="004564C7"/>
    <w:rsid w:val="00456500"/>
    <w:rsid w:val="004569EA"/>
    <w:rsid w:val="0045715B"/>
    <w:rsid w:val="00457698"/>
    <w:rsid w:val="004577A5"/>
    <w:rsid w:val="004579EA"/>
    <w:rsid w:val="004600E7"/>
    <w:rsid w:val="00460B20"/>
    <w:rsid w:val="00460E15"/>
    <w:rsid w:val="00460EEF"/>
    <w:rsid w:val="00460FAD"/>
    <w:rsid w:val="0046115C"/>
    <w:rsid w:val="00461560"/>
    <w:rsid w:val="00462814"/>
    <w:rsid w:val="00462968"/>
    <w:rsid w:val="0046357B"/>
    <w:rsid w:val="00463839"/>
    <w:rsid w:val="004638D5"/>
    <w:rsid w:val="00463D95"/>
    <w:rsid w:val="00463DBD"/>
    <w:rsid w:val="00464062"/>
    <w:rsid w:val="004640EE"/>
    <w:rsid w:val="0046491C"/>
    <w:rsid w:val="004649B0"/>
    <w:rsid w:val="0046572F"/>
    <w:rsid w:val="00465A34"/>
    <w:rsid w:val="00465D62"/>
    <w:rsid w:val="00465F57"/>
    <w:rsid w:val="00466529"/>
    <w:rsid w:val="00466DE5"/>
    <w:rsid w:val="00466F2A"/>
    <w:rsid w:val="00467034"/>
    <w:rsid w:val="00470515"/>
    <w:rsid w:val="00470666"/>
    <w:rsid w:val="00470B09"/>
    <w:rsid w:val="00470E04"/>
    <w:rsid w:val="004711A1"/>
    <w:rsid w:val="0047121F"/>
    <w:rsid w:val="004716FB"/>
    <w:rsid w:val="004717B3"/>
    <w:rsid w:val="00471A63"/>
    <w:rsid w:val="00471B57"/>
    <w:rsid w:val="00471BA4"/>
    <w:rsid w:val="00471D27"/>
    <w:rsid w:val="00471E91"/>
    <w:rsid w:val="00472054"/>
    <w:rsid w:val="00472746"/>
    <w:rsid w:val="00472B7D"/>
    <w:rsid w:val="0047358A"/>
    <w:rsid w:val="00473622"/>
    <w:rsid w:val="004738AB"/>
    <w:rsid w:val="00473946"/>
    <w:rsid w:val="00473F8E"/>
    <w:rsid w:val="00474197"/>
    <w:rsid w:val="00474581"/>
    <w:rsid w:val="00474EFF"/>
    <w:rsid w:val="00474FB9"/>
    <w:rsid w:val="00475067"/>
    <w:rsid w:val="0047568B"/>
    <w:rsid w:val="00475AA2"/>
    <w:rsid w:val="00475B5A"/>
    <w:rsid w:val="00475B6F"/>
    <w:rsid w:val="00475BD1"/>
    <w:rsid w:val="00475E0F"/>
    <w:rsid w:val="0047604D"/>
    <w:rsid w:val="004763AD"/>
    <w:rsid w:val="004765C4"/>
    <w:rsid w:val="00476975"/>
    <w:rsid w:val="004772F1"/>
    <w:rsid w:val="00477E61"/>
    <w:rsid w:val="004802CC"/>
    <w:rsid w:val="0048032E"/>
    <w:rsid w:val="00480399"/>
    <w:rsid w:val="00480612"/>
    <w:rsid w:val="00481186"/>
    <w:rsid w:val="004812AB"/>
    <w:rsid w:val="004814BE"/>
    <w:rsid w:val="004821CC"/>
    <w:rsid w:val="00482418"/>
    <w:rsid w:val="00482618"/>
    <w:rsid w:val="00482CAB"/>
    <w:rsid w:val="004831FE"/>
    <w:rsid w:val="004833DD"/>
    <w:rsid w:val="004834DA"/>
    <w:rsid w:val="00483533"/>
    <w:rsid w:val="00483A3C"/>
    <w:rsid w:val="00483A6A"/>
    <w:rsid w:val="00483CFC"/>
    <w:rsid w:val="00483D63"/>
    <w:rsid w:val="00484172"/>
    <w:rsid w:val="0048423C"/>
    <w:rsid w:val="00484394"/>
    <w:rsid w:val="00484416"/>
    <w:rsid w:val="004844BB"/>
    <w:rsid w:val="00484779"/>
    <w:rsid w:val="004848F2"/>
    <w:rsid w:val="00484944"/>
    <w:rsid w:val="00484D38"/>
    <w:rsid w:val="00485B7F"/>
    <w:rsid w:val="00485E00"/>
    <w:rsid w:val="0048610B"/>
    <w:rsid w:val="00486603"/>
    <w:rsid w:val="0048693D"/>
    <w:rsid w:val="00486ACB"/>
    <w:rsid w:val="00486C4A"/>
    <w:rsid w:val="00486FD7"/>
    <w:rsid w:val="00487265"/>
    <w:rsid w:val="0048769B"/>
    <w:rsid w:val="00487BF6"/>
    <w:rsid w:val="00487C78"/>
    <w:rsid w:val="00487D5D"/>
    <w:rsid w:val="004904D6"/>
    <w:rsid w:val="004905DC"/>
    <w:rsid w:val="00490F8B"/>
    <w:rsid w:val="00490F99"/>
    <w:rsid w:val="0049103C"/>
    <w:rsid w:val="00491397"/>
    <w:rsid w:val="004915FC"/>
    <w:rsid w:val="00491636"/>
    <w:rsid w:val="0049168D"/>
    <w:rsid w:val="00491833"/>
    <w:rsid w:val="00491CF1"/>
    <w:rsid w:val="00492445"/>
    <w:rsid w:val="004924FB"/>
    <w:rsid w:val="00492B2A"/>
    <w:rsid w:val="00492BF6"/>
    <w:rsid w:val="00492EDE"/>
    <w:rsid w:val="00492F18"/>
    <w:rsid w:val="00492F1A"/>
    <w:rsid w:val="00493104"/>
    <w:rsid w:val="00493639"/>
    <w:rsid w:val="004936E5"/>
    <w:rsid w:val="0049377F"/>
    <w:rsid w:val="00493AAE"/>
    <w:rsid w:val="0049404E"/>
    <w:rsid w:val="004943D1"/>
    <w:rsid w:val="004948C4"/>
    <w:rsid w:val="00494CCD"/>
    <w:rsid w:val="00495225"/>
    <w:rsid w:val="00495256"/>
    <w:rsid w:val="00495346"/>
    <w:rsid w:val="00495652"/>
    <w:rsid w:val="00495924"/>
    <w:rsid w:val="0049594A"/>
    <w:rsid w:val="004960A3"/>
    <w:rsid w:val="004961FC"/>
    <w:rsid w:val="004965D8"/>
    <w:rsid w:val="00496865"/>
    <w:rsid w:val="00496D4D"/>
    <w:rsid w:val="00497069"/>
    <w:rsid w:val="0049715E"/>
    <w:rsid w:val="00497533"/>
    <w:rsid w:val="00497752"/>
    <w:rsid w:val="00497ACB"/>
    <w:rsid w:val="00497BB0"/>
    <w:rsid w:val="00497C1B"/>
    <w:rsid w:val="00497D4F"/>
    <w:rsid w:val="004A0539"/>
    <w:rsid w:val="004A0746"/>
    <w:rsid w:val="004A0AF7"/>
    <w:rsid w:val="004A0C24"/>
    <w:rsid w:val="004A0C9C"/>
    <w:rsid w:val="004A0F78"/>
    <w:rsid w:val="004A0FF2"/>
    <w:rsid w:val="004A1070"/>
    <w:rsid w:val="004A14E5"/>
    <w:rsid w:val="004A1606"/>
    <w:rsid w:val="004A17B1"/>
    <w:rsid w:val="004A18E5"/>
    <w:rsid w:val="004A1DFF"/>
    <w:rsid w:val="004A213A"/>
    <w:rsid w:val="004A2702"/>
    <w:rsid w:val="004A273A"/>
    <w:rsid w:val="004A276B"/>
    <w:rsid w:val="004A27A2"/>
    <w:rsid w:val="004A2BE6"/>
    <w:rsid w:val="004A37BC"/>
    <w:rsid w:val="004A39C7"/>
    <w:rsid w:val="004A3BC8"/>
    <w:rsid w:val="004A4537"/>
    <w:rsid w:val="004A4989"/>
    <w:rsid w:val="004A4B5C"/>
    <w:rsid w:val="004A4B5E"/>
    <w:rsid w:val="004A4B90"/>
    <w:rsid w:val="004A4BCB"/>
    <w:rsid w:val="004A4E20"/>
    <w:rsid w:val="004A4E8F"/>
    <w:rsid w:val="004A4F7F"/>
    <w:rsid w:val="004A5562"/>
    <w:rsid w:val="004A55CD"/>
    <w:rsid w:val="004A5639"/>
    <w:rsid w:val="004A5773"/>
    <w:rsid w:val="004A59F4"/>
    <w:rsid w:val="004A5A2F"/>
    <w:rsid w:val="004A5DCB"/>
    <w:rsid w:val="004A5E76"/>
    <w:rsid w:val="004A5E87"/>
    <w:rsid w:val="004A6A96"/>
    <w:rsid w:val="004A6B3C"/>
    <w:rsid w:val="004A6B93"/>
    <w:rsid w:val="004A6BF2"/>
    <w:rsid w:val="004A6F54"/>
    <w:rsid w:val="004A796E"/>
    <w:rsid w:val="004A7AFD"/>
    <w:rsid w:val="004A7C3C"/>
    <w:rsid w:val="004A7C5F"/>
    <w:rsid w:val="004B0102"/>
    <w:rsid w:val="004B010A"/>
    <w:rsid w:val="004B0229"/>
    <w:rsid w:val="004B0400"/>
    <w:rsid w:val="004B05F0"/>
    <w:rsid w:val="004B098E"/>
    <w:rsid w:val="004B0B7C"/>
    <w:rsid w:val="004B0D0F"/>
    <w:rsid w:val="004B126F"/>
    <w:rsid w:val="004B1497"/>
    <w:rsid w:val="004B162B"/>
    <w:rsid w:val="004B1A10"/>
    <w:rsid w:val="004B2075"/>
    <w:rsid w:val="004B23FA"/>
    <w:rsid w:val="004B2561"/>
    <w:rsid w:val="004B25C3"/>
    <w:rsid w:val="004B2955"/>
    <w:rsid w:val="004B2BBB"/>
    <w:rsid w:val="004B2BF5"/>
    <w:rsid w:val="004B30A3"/>
    <w:rsid w:val="004B35EF"/>
    <w:rsid w:val="004B36AA"/>
    <w:rsid w:val="004B36C6"/>
    <w:rsid w:val="004B38DA"/>
    <w:rsid w:val="004B39D8"/>
    <w:rsid w:val="004B3BDB"/>
    <w:rsid w:val="004B3C2A"/>
    <w:rsid w:val="004B3CD9"/>
    <w:rsid w:val="004B3DA3"/>
    <w:rsid w:val="004B4341"/>
    <w:rsid w:val="004B4343"/>
    <w:rsid w:val="004B435C"/>
    <w:rsid w:val="004B4377"/>
    <w:rsid w:val="004B4425"/>
    <w:rsid w:val="004B44ED"/>
    <w:rsid w:val="004B45E9"/>
    <w:rsid w:val="004B4616"/>
    <w:rsid w:val="004B4A4B"/>
    <w:rsid w:val="004B4FE0"/>
    <w:rsid w:val="004B523B"/>
    <w:rsid w:val="004B5398"/>
    <w:rsid w:val="004B546E"/>
    <w:rsid w:val="004B54AE"/>
    <w:rsid w:val="004B554E"/>
    <w:rsid w:val="004B56E2"/>
    <w:rsid w:val="004B5712"/>
    <w:rsid w:val="004B5AA1"/>
    <w:rsid w:val="004B5E77"/>
    <w:rsid w:val="004B648E"/>
    <w:rsid w:val="004B670A"/>
    <w:rsid w:val="004B6975"/>
    <w:rsid w:val="004B6A81"/>
    <w:rsid w:val="004B6E88"/>
    <w:rsid w:val="004B6EF6"/>
    <w:rsid w:val="004B6F57"/>
    <w:rsid w:val="004B6F72"/>
    <w:rsid w:val="004B71B9"/>
    <w:rsid w:val="004B7620"/>
    <w:rsid w:val="004B7837"/>
    <w:rsid w:val="004B7902"/>
    <w:rsid w:val="004B7AB5"/>
    <w:rsid w:val="004B7D26"/>
    <w:rsid w:val="004B7D4C"/>
    <w:rsid w:val="004B7E92"/>
    <w:rsid w:val="004C0033"/>
    <w:rsid w:val="004C0480"/>
    <w:rsid w:val="004C0A01"/>
    <w:rsid w:val="004C16D1"/>
    <w:rsid w:val="004C18AC"/>
    <w:rsid w:val="004C18C7"/>
    <w:rsid w:val="004C1A7B"/>
    <w:rsid w:val="004C1B78"/>
    <w:rsid w:val="004C207F"/>
    <w:rsid w:val="004C20C4"/>
    <w:rsid w:val="004C22F8"/>
    <w:rsid w:val="004C233B"/>
    <w:rsid w:val="004C2435"/>
    <w:rsid w:val="004C2831"/>
    <w:rsid w:val="004C30B5"/>
    <w:rsid w:val="004C3159"/>
    <w:rsid w:val="004C32EB"/>
    <w:rsid w:val="004C33AF"/>
    <w:rsid w:val="004C3698"/>
    <w:rsid w:val="004C3796"/>
    <w:rsid w:val="004C3C65"/>
    <w:rsid w:val="004C3F1A"/>
    <w:rsid w:val="004C4224"/>
    <w:rsid w:val="004C42AB"/>
    <w:rsid w:val="004C43E3"/>
    <w:rsid w:val="004C449B"/>
    <w:rsid w:val="004C4894"/>
    <w:rsid w:val="004C5194"/>
    <w:rsid w:val="004C52FC"/>
    <w:rsid w:val="004C55D1"/>
    <w:rsid w:val="004C5E87"/>
    <w:rsid w:val="004C6033"/>
    <w:rsid w:val="004C61C9"/>
    <w:rsid w:val="004C6A7F"/>
    <w:rsid w:val="004C6DC2"/>
    <w:rsid w:val="004C6E2D"/>
    <w:rsid w:val="004C7153"/>
    <w:rsid w:val="004C75B8"/>
    <w:rsid w:val="004C79E1"/>
    <w:rsid w:val="004C79E7"/>
    <w:rsid w:val="004C7C07"/>
    <w:rsid w:val="004D0220"/>
    <w:rsid w:val="004D024C"/>
    <w:rsid w:val="004D0419"/>
    <w:rsid w:val="004D04DB"/>
    <w:rsid w:val="004D0571"/>
    <w:rsid w:val="004D0607"/>
    <w:rsid w:val="004D082D"/>
    <w:rsid w:val="004D0D25"/>
    <w:rsid w:val="004D10FE"/>
    <w:rsid w:val="004D1408"/>
    <w:rsid w:val="004D17B8"/>
    <w:rsid w:val="004D1A15"/>
    <w:rsid w:val="004D20FA"/>
    <w:rsid w:val="004D21AB"/>
    <w:rsid w:val="004D24F4"/>
    <w:rsid w:val="004D2B77"/>
    <w:rsid w:val="004D2D7B"/>
    <w:rsid w:val="004D3238"/>
    <w:rsid w:val="004D34D9"/>
    <w:rsid w:val="004D382D"/>
    <w:rsid w:val="004D39EF"/>
    <w:rsid w:val="004D3B35"/>
    <w:rsid w:val="004D3D37"/>
    <w:rsid w:val="004D4056"/>
    <w:rsid w:val="004D4277"/>
    <w:rsid w:val="004D42DB"/>
    <w:rsid w:val="004D434E"/>
    <w:rsid w:val="004D4574"/>
    <w:rsid w:val="004D46B0"/>
    <w:rsid w:val="004D46C6"/>
    <w:rsid w:val="004D4725"/>
    <w:rsid w:val="004D4C46"/>
    <w:rsid w:val="004D4CCB"/>
    <w:rsid w:val="004D5045"/>
    <w:rsid w:val="004D5194"/>
    <w:rsid w:val="004D5468"/>
    <w:rsid w:val="004D573A"/>
    <w:rsid w:val="004D5C72"/>
    <w:rsid w:val="004D6464"/>
    <w:rsid w:val="004D6581"/>
    <w:rsid w:val="004D66CA"/>
    <w:rsid w:val="004D6727"/>
    <w:rsid w:val="004D6963"/>
    <w:rsid w:val="004D6E27"/>
    <w:rsid w:val="004D6F0F"/>
    <w:rsid w:val="004D7118"/>
    <w:rsid w:val="004D7479"/>
    <w:rsid w:val="004D74BE"/>
    <w:rsid w:val="004D77D5"/>
    <w:rsid w:val="004D7E73"/>
    <w:rsid w:val="004E08DB"/>
    <w:rsid w:val="004E0C82"/>
    <w:rsid w:val="004E0D0B"/>
    <w:rsid w:val="004E0D92"/>
    <w:rsid w:val="004E10AF"/>
    <w:rsid w:val="004E11DF"/>
    <w:rsid w:val="004E1455"/>
    <w:rsid w:val="004E1908"/>
    <w:rsid w:val="004E190E"/>
    <w:rsid w:val="004E1AE7"/>
    <w:rsid w:val="004E2425"/>
    <w:rsid w:val="004E251B"/>
    <w:rsid w:val="004E2CA1"/>
    <w:rsid w:val="004E2ED7"/>
    <w:rsid w:val="004E36E8"/>
    <w:rsid w:val="004E3744"/>
    <w:rsid w:val="004E3BCC"/>
    <w:rsid w:val="004E403F"/>
    <w:rsid w:val="004E4336"/>
    <w:rsid w:val="004E4540"/>
    <w:rsid w:val="004E499B"/>
    <w:rsid w:val="004E49C9"/>
    <w:rsid w:val="004E4EFC"/>
    <w:rsid w:val="004E53EC"/>
    <w:rsid w:val="004E5459"/>
    <w:rsid w:val="004E55E7"/>
    <w:rsid w:val="004E5673"/>
    <w:rsid w:val="004E5864"/>
    <w:rsid w:val="004E5A99"/>
    <w:rsid w:val="004E5D6F"/>
    <w:rsid w:val="004E5F0C"/>
    <w:rsid w:val="004E6267"/>
    <w:rsid w:val="004E62D6"/>
    <w:rsid w:val="004E65D3"/>
    <w:rsid w:val="004E696D"/>
    <w:rsid w:val="004E6B11"/>
    <w:rsid w:val="004E6ECF"/>
    <w:rsid w:val="004E6F40"/>
    <w:rsid w:val="004E74A7"/>
    <w:rsid w:val="004E770F"/>
    <w:rsid w:val="004E7796"/>
    <w:rsid w:val="004E787B"/>
    <w:rsid w:val="004E7921"/>
    <w:rsid w:val="004E7AAA"/>
    <w:rsid w:val="004E7CF1"/>
    <w:rsid w:val="004F0775"/>
    <w:rsid w:val="004F0E3C"/>
    <w:rsid w:val="004F117B"/>
    <w:rsid w:val="004F12C9"/>
    <w:rsid w:val="004F1363"/>
    <w:rsid w:val="004F1514"/>
    <w:rsid w:val="004F1DF0"/>
    <w:rsid w:val="004F1EA8"/>
    <w:rsid w:val="004F205D"/>
    <w:rsid w:val="004F2110"/>
    <w:rsid w:val="004F242E"/>
    <w:rsid w:val="004F24F7"/>
    <w:rsid w:val="004F2850"/>
    <w:rsid w:val="004F296E"/>
    <w:rsid w:val="004F345D"/>
    <w:rsid w:val="004F375A"/>
    <w:rsid w:val="004F38AB"/>
    <w:rsid w:val="004F38AE"/>
    <w:rsid w:val="004F38DE"/>
    <w:rsid w:val="004F394B"/>
    <w:rsid w:val="004F3963"/>
    <w:rsid w:val="004F3B03"/>
    <w:rsid w:val="004F3C38"/>
    <w:rsid w:val="004F4543"/>
    <w:rsid w:val="004F490F"/>
    <w:rsid w:val="004F4C56"/>
    <w:rsid w:val="004F4E8A"/>
    <w:rsid w:val="004F5090"/>
    <w:rsid w:val="004F5102"/>
    <w:rsid w:val="004F56D6"/>
    <w:rsid w:val="004F5C40"/>
    <w:rsid w:val="004F5EE6"/>
    <w:rsid w:val="004F5FDE"/>
    <w:rsid w:val="004F6124"/>
    <w:rsid w:val="004F63D4"/>
    <w:rsid w:val="004F67BD"/>
    <w:rsid w:val="004F72B4"/>
    <w:rsid w:val="004F74CB"/>
    <w:rsid w:val="004F785F"/>
    <w:rsid w:val="004F7A01"/>
    <w:rsid w:val="004F7D65"/>
    <w:rsid w:val="004F7EA0"/>
    <w:rsid w:val="00500211"/>
    <w:rsid w:val="00500717"/>
    <w:rsid w:val="00500B23"/>
    <w:rsid w:val="00500EFF"/>
    <w:rsid w:val="00500F70"/>
    <w:rsid w:val="005015B8"/>
    <w:rsid w:val="00501CA3"/>
    <w:rsid w:val="00502DC7"/>
    <w:rsid w:val="00502DF3"/>
    <w:rsid w:val="005031ED"/>
    <w:rsid w:val="00503615"/>
    <w:rsid w:val="0050363A"/>
    <w:rsid w:val="0050394A"/>
    <w:rsid w:val="00503C9B"/>
    <w:rsid w:val="00503E55"/>
    <w:rsid w:val="00504299"/>
    <w:rsid w:val="0050431C"/>
    <w:rsid w:val="00504326"/>
    <w:rsid w:val="00504435"/>
    <w:rsid w:val="00504888"/>
    <w:rsid w:val="00504DDE"/>
    <w:rsid w:val="00504ED0"/>
    <w:rsid w:val="0050501E"/>
    <w:rsid w:val="005050F3"/>
    <w:rsid w:val="00505169"/>
    <w:rsid w:val="005058EA"/>
    <w:rsid w:val="00505B8A"/>
    <w:rsid w:val="00505FB9"/>
    <w:rsid w:val="00505FDB"/>
    <w:rsid w:val="00506358"/>
    <w:rsid w:val="00506521"/>
    <w:rsid w:val="00506821"/>
    <w:rsid w:val="005069E4"/>
    <w:rsid w:val="00506A79"/>
    <w:rsid w:val="00506CF2"/>
    <w:rsid w:val="00506E5B"/>
    <w:rsid w:val="0050727A"/>
    <w:rsid w:val="00507BD8"/>
    <w:rsid w:val="00507DEB"/>
    <w:rsid w:val="00507FE4"/>
    <w:rsid w:val="005102C0"/>
    <w:rsid w:val="0051049A"/>
    <w:rsid w:val="00510B34"/>
    <w:rsid w:val="00510E79"/>
    <w:rsid w:val="00510F09"/>
    <w:rsid w:val="00510F79"/>
    <w:rsid w:val="00511078"/>
    <w:rsid w:val="0051150E"/>
    <w:rsid w:val="005115DA"/>
    <w:rsid w:val="005116E2"/>
    <w:rsid w:val="00511CEF"/>
    <w:rsid w:val="00511DA8"/>
    <w:rsid w:val="00511EEA"/>
    <w:rsid w:val="0051204B"/>
    <w:rsid w:val="00512146"/>
    <w:rsid w:val="00512160"/>
    <w:rsid w:val="00512556"/>
    <w:rsid w:val="00512576"/>
    <w:rsid w:val="00512846"/>
    <w:rsid w:val="005129E9"/>
    <w:rsid w:val="00512BD9"/>
    <w:rsid w:val="00512D09"/>
    <w:rsid w:val="00512D23"/>
    <w:rsid w:val="00513283"/>
    <w:rsid w:val="0051331A"/>
    <w:rsid w:val="00513AFE"/>
    <w:rsid w:val="00513B34"/>
    <w:rsid w:val="00513BF7"/>
    <w:rsid w:val="00513D8C"/>
    <w:rsid w:val="00513E2C"/>
    <w:rsid w:val="005140FD"/>
    <w:rsid w:val="00514284"/>
    <w:rsid w:val="0051429C"/>
    <w:rsid w:val="00514617"/>
    <w:rsid w:val="00514F59"/>
    <w:rsid w:val="00514FE3"/>
    <w:rsid w:val="00515719"/>
    <w:rsid w:val="00515B70"/>
    <w:rsid w:val="00515D01"/>
    <w:rsid w:val="00515F50"/>
    <w:rsid w:val="005161BC"/>
    <w:rsid w:val="00516494"/>
    <w:rsid w:val="00516709"/>
    <w:rsid w:val="0051684C"/>
    <w:rsid w:val="0051699D"/>
    <w:rsid w:val="00516A96"/>
    <w:rsid w:val="00516B40"/>
    <w:rsid w:val="00517268"/>
    <w:rsid w:val="005173BE"/>
    <w:rsid w:val="00517599"/>
    <w:rsid w:val="005175D6"/>
    <w:rsid w:val="005176B3"/>
    <w:rsid w:val="0051770D"/>
    <w:rsid w:val="005177B1"/>
    <w:rsid w:val="00517857"/>
    <w:rsid w:val="00517EB7"/>
    <w:rsid w:val="0052011E"/>
    <w:rsid w:val="00520134"/>
    <w:rsid w:val="00520962"/>
    <w:rsid w:val="00520E19"/>
    <w:rsid w:val="00520EF5"/>
    <w:rsid w:val="00521228"/>
    <w:rsid w:val="00521523"/>
    <w:rsid w:val="00521CB2"/>
    <w:rsid w:val="00521E5A"/>
    <w:rsid w:val="0052213F"/>
    <w:rsid w:val="005221E3"/>
    <w:rsid w:val="00522277"/>
    <w:rsid w:val="005222A1"/>
    <w:rsid w:val="005225A1"/>
    <w:rsid w:val="0052273D"/>
    <w:rsid w:val="0052279B"/>
    <w:rsid w:val="005227E5"/>
    <w:rsid w:val="00522AED"/>
    <w:rsid w:val="00522BCD"/>
    <w:rsid w:val="00522D52"/>
    <w:rsid w:val="00522DF7"/>
    <w:rsid w:val="00522F07"/>
    <w:rsid w:val="00523052"/>
    <w:rsid w:val="0052338E"/>
    <w:rsid w:val="00523590"/>
    <w:rsid w:val="005235B6"/>
    <w:rsid w:val="00523B2E"/>
    <w:rsid w:val="00523D6A"/>
    <w:rsid w:val="00524292"/>
    <w:rsid w:val="00524327"/>
    <w:rsid w:val="0052454C"/>
    <w:rsid w:val="005246D5"/>
    <w:rsid w:val="00524816"/>
    <w:rsid w:val="00524CB0"/>
    <w:rsid w:val="00524E43"/>
    <w:rsid w:val="00524FCD"/>
    <w:rsid w:val="00525074"/>
    <w:rsid w:val="005253EF"/>
    <w:rsid w:val="0052541E"/>
    <w:rsid w:val="00525594"/>
    <w:rsid w:val="005255C3"/>
    <w:rsid w:val="00525675"/>
    <w:rsid w:val="00525841"/>
    <w:rsid w:val="00525B01"/>
    <w:rsid w:val="00525BA1"/>
    <w:rsid w:val="00525E91"/>
    <w:rsid w:val="00525FE7"/>
    <w:rsid w:val="00526004"/>
    <w:rsid w:val="00526013"/>
    <w:rsid w:val="00526092"/>
    <w:rsid w:val="00526678"/>
    <w:rsid w:val="005268F6"/>
    <w:rsid w:val="00526A6B"/>
    <w:rsid w:val="00526A95"/>
    <w:rsid w:val="00527115"/>
    <w:rsid w:val="005271D5"/>
    <w:rsid w:val="005271F8"/>
    <w:rsid w:val="005273C7"/>
    <w:rsid w:val="00527610"/>
    <w:rsid w:val="005276DA"/>
    <w:rsid w:val="00530331"/>
    <w:rsid w:val="005304A8"/>
    <w:rsid w:val="0053086C"/>
    <w:rsid w:val="00530941"/>
    <w:rsid w:val="0053096F"/>
    <w:rsid w:val="00530E9D"/>
    <w:rsid w:val="00530F71"/>
    <w:rsid w:val="005312E1"/>
    <w:rsid w:val="005316F2"/>
    <w:rsid w:val="00531B1C"/>
    <w:rsid w:val="00531BD3"/>
    <w:rsid w:val="00531F2C"/>
    <w:rsid w:val="005320C6"/>
    <w:rsid w:val="00532219"/>
    <w:rsid w:val="00532B35"/>
    <w:rsid w:val="00532F91"/>
    <w:rsid w:val="00533702"/>
    <w:rsid w:val="005338B6"/>
    <w:rsid w:val="00533B6D"/>
    <w:rsid w:val="00533D2B"/>
    <w:rsid w:val="00533F90"/>
    <w:rsid w:val="00533FD4"/>
    <w:rsid w:val="00534023"/>
    <w:rsid w:val="0053437D"/>
    <w:rsid w:val="00534425"/>
    <w:rsid w:val="005344CC"/>
    <w:rsid w:val="0053461B"/>
    <w:rsid w:val="00534792"/>
    <w:rsid w:val="00534A40"/>
    <w:rsid w:val="0053522E"/>
    <w:rsid w:val="0053547F"/>
    <w:rsid w:val="00535920"/>
    <w:rsid w:val="00535A3F"/>
    <w:rsid w:val="00535C67"/>
    <w:rsid w:val="00535CEA"/>
    <w:rsid w:val="00535EEE"/>
    <w:rsid w:val="0053629E"/>
    <w:rsid w:val="00536421"/>
    <w:rsid w:val="0053655E"/>
    <w:rsid w:val="005366D0"/>
    <w:rsid w:val="00537008"/>
    <w:rsid w:val="005371D2"/>
    <w:rsid w:val="00537246"/>
    <w:rsid w:val="00537CD6"/>
    <w:rsid w:val="00537E7E"/>
    <w:rsid w:val="00540115"/>
    <w:rsid w:val="005403EF"/>
    <w:rsid w:val="005404AA"/>
    <w:rsid w:val="005404DB"/>
    <w:rsid w:val="00540A72"/>
    <w:rsid w:val="00540BCB"/>
    <w:rsid w:val="00540F9D"/>
    <w:rsid w:val="0054101D"/>
    <w:rsid w:val="0054159E"/>
    <w:rsid w:val="00541674"/>
    <w:rsid w:val="00541E0D"/>
    <w:rsid w:val="00541FA6"/>
    <w:rsid w:val="00542108"/>
    <w:rsid w:val="00542306"/>
    <w:rsid w:val="00542B7E"/>
    <w:rsid w:val="00542DBD"/>
    <w:rsid w:val="00543612"/>
    <w:rsid w:val="00543657"/>
    <w:rsid w:val="00543875"/>
    <w:rsid w:val="00543990"/>
    <w:rsid w:val="005442D5"/>
    <w:rsid w:val="005447AE"/>
    <w:rsid w:val="00544A4F"/>
    <w:rsid w:val="00544D55"/>
    <w:rsid w:val="00544D5C"/>
    <w:rsid w:val="005453CB"/>
    <w:rsid w:val="005457E2"/>
    <w:rsid w:val="00545A06"/>
    <w:rsid w:val="00545A5A"/>
    <w:rsid w:val="00546765"/>
    <w:rsid w:val="00546AEA"/>
    <w:rsid w:val="00546B0B"/>
    <w:rsid w:val="00546B7A"/>
    <w:rsid w:val="00546CDB"/>
    <w:rsid w:val="00546EA5"/>
    <w:rsid w:val="00546FB4"/>
    <w:rsid w:val="00547338"/>
    <w:rsid w:val="00547410"/>
    <w:rsid w:val="00547C0D"/>
    <w:rsid w:val="00547C11"/>
    <w:rsid w:val="00547CE1"/>
    <w:rsid w:val="00547EE2"/>
    <w:rsid w:val="00547FB9"/>
    <w:rsid w:val="00550063"/>
    <w:rsid w:val="00550298"/>
    <w:rsid w:val="005502F4"/>
    <w:rsid w:val="005505B0"/>
    <w:rsid w:val="0055062A"/>
    <w:rsid w:val="00550A6B"/>
    <w:rsid w:val="00550CE1"/>
    <w:rsid w:val="00550D50"/>
    <w:rsid w:val="00550D65"/>
    <w:rsid w:val="00550DD5"/>
    <w:rsid w:val="0055116F"/>
    <w:rsid w:val="00551E66"/>
    <w:rsid w:val="00551F98"/>
    <w:rsid w:val="00552256"/>
    <w:rsid w:val="00552336"/>
    <w:rsid w:val="00552368"/>
    <w:rsid w:val="00552424"/>
    <w:rsid w:val="0055259A"/>
    <w:rsid w:val="005529D8"/>
    <w:rsid w:val="00552BA7"/>
    <w:rsid w:val="00552C4C"/>
    <w:rsid w:val="00552DAE"/>
    <w:rsid w:val="00552E20"/>
    <w:rsid w:val="00552FF4"/>
    <w:rsid w:val="005532A5"/>
    <w:rsid w:val="00553412"/>
    <w:rsid w:val="0055367D"/>
    <w:rsid w:val="00553789"/>
    <w:rsid w:val="00553AA6"/>
    <w:rsid w:val="00553AD8"/>
    <w:rsid w:val="00553B9B"/>
    <w:rsid w:val="00553D70"/>
    <w:rsid w:val="00553FBC"/>
    <w:rsid w:val="00554101"/>
    <w:rsid w:val="005543DF"/>
    <w:rsid w:val="005545DA"/>
    <w:rsid w:val="00554A21"/>
    <w:rsid w:val="00554FB7"/>
    <w:rsid w:val="005550A5"/>
    <w:rsid w:val="005550F3"/>
    <w:rsid w:val="0055521F"/>
    <w:rsid w:val="005552D0"/>
    <w:rsid w:val="00555322"/>
    <w:rsid w:val="005555D4"/>
    <w:rsid w:val="005556F7"/>
    <w:rsid w:val="0055581F"/>
    <w:rsid w:val="0055584B"/>
    <w:rsid w:val="005558DE"/>
    <w:rsid w:val="005560E8"/>
    <w:rsid w:val="0055616A"/>
    <w:rsid w:val="005561F3"/>
    <w:rsid w:val="0055620A"/>
    <w:rsid w:val="00556317"/>
    <w:rsid w:val="0055631C"/>
    <w:rsid w:val="005565A6"/>
    <w:rsid w:val="005572C2"/>
    <w:rsid w:val="005572CF"/>
    <w:rsid w:val="00557686"/>
    <w:rsid w:val="0056007E"/>
    <w:rsid w:val="005601C7"/>
    <w:rsid w:val="0056022B"/>
    <w:rsid w:val="005604E7"/>
    <w:rsid w:val="0056058C"/>
    <w:rsid w:val="00560AA2"/>
    <w:rsid w:val="00560B27"/>
    <w:rsid w:val="00560CE7"/>
    <w:rsid w:val="00561B46"/>
    <w:rsid w:val="00561E5B"/>
    <w:rsid w:val="00561FE7"/>
    <w:rsid w:val="00562016"/>
    <w:rsid w:val="00562135"/>
    <w:rsid w:val="0056235E"/>
    <w:rsid w:val="005626AD"/>
    <w:rsid w:val="00562816"/>
    <w:rsid w:val="0056281A"/>
    <w:rsid w:val="00562A70"/>
    <w:rsid w:val="00562B47"/>
    <w:rsid w:val="00563241"/>
    <w:rsid w:val="005632FF"/>
    <w:rsid w:val="0056336A"/>
    <w:rsid w:val="0056340D"/>
    <w:rsid w:val="00563585"/>
    <w:rsid w:val="005635D2"/>
    <w:rsid w:val="005635EA"/>
    <w:rsid w:val="00563616"/>
    <w:rsid w:val="00563777"/>
    <w:rsid w:val="00563B75"/>
    <w:rsid w:val="00563F8D"/>
    <w:rsid w:val="0056415B"/>
    <w:rsid w:val="00564562"/>
    <w:rsid w:val="0056493E"/>
    <w:rsid w:val="00564DAD"/>
    <w:rsid w:val="00564EB7"/>
    <w:rsid w:val="00565182"/>
    <w:rsid w:val="0056579F"/>
    <w:rsid w:val="005658FA"/>
    <w:rsid w:val="005659BB"/>
    <w:rsid w:val="00565CA8"/>
    <w:rsid w:val="00566351"/>
    <w:rsid w:val="00566397"/>
    <w:rsid w:val="00566BA0"/>
    <w:rsid w:val="00566BF4"/>
    <w:rsid w:val="00566C2A"/>
    <w:rsid w:val="00566C8E"/>
    <w:rsid w:val="00566E9D"/>
    <w:rsid w:val="00566EB6"/>
    <w:rsid w:val="0056750F"/>
    <w:rsid w:val="00567A6E"/>
    <w:rsid w:val="00567D32"/>
    <w:rsid w:val="00570271"/>
    <w:rsid w:val="0057047E"/>
    <w:rsid w:val="0057054E"/>
    <w:rsid w:val="005706B1"/>
    <w:rsid w:val="005707DF"/>
    <w:rsid w:val="00570B74"/>
    <w:rsid w:val="00570F13"/>
    <w:rsid w:val="00570F55"/>
    <w:rsid w:val="0057122E"/>
    <w:rsid w:val="00571DD9"/>
    <w:rsid w:val="00571EDB"/>
    <w:rsid w:val="005720D4"/>
    <w:rsid w:val="00572184"/>
    <w:rsid w:val="0057265C"/>
    <w:rsid w:val="00573448"/>
    <w:rsid w:val="005735D2"/>
    <w:rsid w:val="0057373D"/>
    <w:rsid w:val="00573B94"/>
    <w:rsid w:val="00574017"/>
    <w:rsid w:val="005740B3"/>
    <w:rsid w:val="00574135"/>
    <w:rsid w:val="005746FB"/>
    <w:rsid w:val="0057493D"/>
    <w:rsid w:val="005753D7"/>
    <w:rsid w:val="00575471"/>
    <w:rsid w:val="00575DEE"/>
    <w:rsid w:val="00575EE1"/>
    <w:rsid w:val="00575EE6"/>
    <w:rsid w:val="00576167"/>
    <w:rsid w:val="0057633D"/>
    <w:rsid w:val="0057690C"/>
    <w:rsid w:val="00576992"/>
    <w:rsid w:val="00576F88"/>
    <w:rsid w:val="0057701C"/>
    <w:rsid w:val="00577160"/>
    <w:rsid w:val="00577276"/>
    <w:rsid w:val="00577759"/>
    <w:rsid w:val="00577A72"/>
    <w:rsid w:val="00577D60"/>
    <w:rsid w:val="0058002F"/>
    <w:rsid w:val="00580A2B"/>
    <w:rsid w:val="00580B2A"/>
    <w:rsid w:val="00580BA9"/>
    <w:rsid w:val="00581091"/>
    <w:rsid w:val="005812EC"/>
    <w:rsid w:val="00581663"/>
    <w:rsid w:val="005819FF"/>
    <w:rsid w:val="00581D3A"/>
    <w:rsid w:val="00581F44"/>
    <w:rsid w:val="0058202F"/>
    <w:rsid w:val="005825CD"/>
    <w:rsid w:val="005832FD"/>
    <w:rsid w:val="0058362C"/>
    <w:rsid w:val="005839ED"/>
    <w:rsid w:val="00583DC7"/>
    <w:rsid w:val="0058409D"/>
    <w:rsid w:val="0058428A"/>
    <w:rsid w:val="00584307"/>
    <w:rsid w:val="0058433D"/>
    <w:rsid w:val="00584386"/>
    <w:rsid w:val="00584396"/>
    <w:rsid w:val="005846FF"/>
    <w:rsid w:val="00584B10"/>
    <w:rsid w:val="00584C1D"/>
    <w:rsid w:val="00585118"/>
    <w:rsid w:val="005852BC"/>
    <w:rsid w:val="00585499"/>
    <w:rsid w:val="00585BD5"/>
    <w:rsid w:val="00585CCB"/>
    <w:rsid w:val="00585D3E"/>
    <w:rsid w:val="00585DB1"/>
    <w:rsid w:val="00585DD8"/>
    <w:rsid w:val="005861C9"/>
    <w:rsid w:val="0058669D"/>
    <w:rsid w:val="005867D3"/>
    <w:rsid w:val="00586F77"/>
    <w:rsid w:val="00587056"/>
    <w:rsid w:val="0058736D"/>
    <w:rsid w:val="005875B2"/>
    <w:rsid w:val="0058795E"/>
    <w:rsid w:val="00587CB9"/>
    <w:rsid w:val="005901F9"/>
    <w:rsid w:val="00590267"/>
    <w:rsid w:val="005902E4"/>
    <w:rsid w:val="00590333"/>
    <w:rsid w:val="00590394"/>
    <w:rsid w:val="0059074A"/>
    <w:rsid w:val="00590C25"/>
    <w:rsid w:val="00590DC8"/>
    <w:rsid w:val="00590E10"/>
    <w:rsid w:val="005912F9"/>
    <w:rsid w:val="00591D33"/>
    <w:rsid w:val="00591E8E"/>
    <w:rsid w:val="00591F36"/>
    <w:rsid w:val="00591FF2"/>
    <w:rsid w:val="00592332"/>
    <w:rsid w:val="005929EE"/>
    <w:rsid w:val="00592CFA"/>
    <w:rsid w:val="00594310"/>
    <w:rsid w:val="00594522"/>
    <w:rsid w:val="0059467E"/>
    <w:rsid w:val="00594C37"/>
    <w:rsid w:val="00595261"/>
    <w:rsid w:val="00595479"/>
    <w:rsid w:val="005954E8"/>
    <w:rsid w:val="0059573E"/>
    <w:rsid w:val="005958C8"/>
    <w:rsid w:val="00595C23"/>
    <w:rsid w:val="00595CED"/>
    <w:rsid w:val="005962D0"/>
    <w:rsid w:val="00596304"/>
    <w:rsid w:val="00596490"/>
    <w:rsid w:val="005965AF"/>
    <w:rsid w:val="005968BF"/>
    <w:rsid w:val="00596AB2"/>
    <w:rsid w:val="0059704D"/>
    <w:rsid w:val="00597143"/>
    <w:rsid w:val="00597557"/>
    <w:rsid w:val="005976CC"/>
    <w:rsid w:val="0059775F"/>
    <w:rsid w:val="00597CB6"/>
    <w:rsid w:val="00597F51"/>
    <w:rsid w:val="005A066B"/>
    <w:rsid w:val="005A08F8"/>
    <w:rsid w:val="005A1066"/>
    <w:rsid w:val="005A118F"/>
    <w:rsid w:val="005A17B3"/>
    <w:rsid w:val="005A1A85"/>
    <w:rsid w:val="005A1DD6"/>
    <w:rsid w:val="005A2BB7"/>
    <w:rsid w:val="005A2DB3"/>
    <w:rsid w:val="005A2F9A"/>
    <w:rsid w:val="005A3602"/>
    <w:rsid w:val="005A36B2"/>
    <w:rsid w:val="005A37ED"/>
    <w:rsid w:val="005A3803"/>
    <w:rsid w:val="005A3B32"/>
    <w:rsid w:val="005A3B9D"/>
    <w:rsid w:val="005A3D77"/>
    <w:rsid w:val="005A48F5"/>
    <w:rsid w:val="005A4F7B"/>
    <w:rsid w:val="005A4F7D"/>
    <w:rsid w:val="005A5351"/>
    <w:rsid w:val="005A54E8"/>
    <w:rsid w:val="005A5994"/>
    <w:rsid w:val="005A5D10"/>
    <w:rsid w:val="005A5E39"/>
    <w:rsid w:val="005A5FA4"/>
    <w:rsid w:val="005A6368"/>
    <w:rsid w:val="005A6395"/>
    <w:rsid w:val="005A6ABA"/>
    <w:rsid w:val="005A6C02"/>
    <w:rsid w:val="005A6F2A"/>
    <w:rsid w:val="005A7E1E"/>
    <w:rsid w:val="005A7F17"/>
    <w:rsid w:val="005B0D4A"/>
    <w:rsid w:val="005B0E93"/>
    <w:rsid w:val="005B0F52"/>
    <w:rsid w:val="005B1687"/>
    <w:rsid w:val="005B1756"/>
    <w:rsid w:val="005B1861"/>
    <w:rsid w:val="005B1AFC"/>
    <w:rsid w:val="005B1C88"/>
    <w:rsid w:val="005B1CFA"/>
    <w:rsid w:val="005B2089"/>
    <w:rsid w:val="005B231E"/>
    <w:rsid w:val="005B2323"/>
    <w:rsid w:val="005B23EA"/>
    <w:rsid w:val="005B23F1"/>
    <w:rsid w:val="005B251D"/>
    <w:rsid w:val="005B2655"/>
    <w:rsid w:val="005B29D8"/>
    <w:rsid w:val="005B2AAF"/>
    <w:rsid w:val="005B30BC"/>
    <w:rsid w:val="005B375B"/>
    <w:rsid w:val="005B3A93"/>
    <w:rsid w:val="005B3D25"/>
    <w:rsid w:val="005B3DE3"/>
    <w:rsid w:val="005B3DF3"/>
    <w:rsid w:val="005B4392"/>
    <w:rsid w:val="005B4797"/>
    <w:rsid w:val="005B480F"/>
    <w:rsid w:val="005B484C"/>
    <w:rsid w:val="005B491C"/>
    <w:rsid w:val="005B4CB9"/>
    <w:rsid w:val="005B4DEB"/>
    <w:rsid w:val="005B5721"/>
    <w:rsid w:val="005B58AB"/>
    <w:rsid w:val="005B5BBC"/>
    <w:rsid w:val="005B5F16"/>
    <w:rsid w:val="005B6096"/>
    <w:rsid w:val="005B61CC"/>
    <w:rsid w:val="005B6383"/>
    <w:rsid w:val="005B6663"/>
    <w:rsid w:val="005B6B74"/>
    <w:rsid w:val="005B6DA9"/>
    <w:rsid w:val="005B6E51"/>
    <w:rsid w:val="005B6ED0"/>
    <w:rsid w:val="005B730A"/>
    <w:rsid w:val="005B7A6C"/>
    <w:rsid w:val="005B7ACA"/>
    <w:rsid w:val="005B7D0B"/>
    <w:rsid w:val="005C04AD"/>
    <w:rsid w:val="005C0624"/>
    <w:rsid w:val="005C070A"/>
    <w:rsid w:val="005C0732"/>
    <w:rsid w:val="005C0B92"/>
    <w:rsid w:val="005C0EF2"/>
    <w:rsid w:val="005C1949"/>
    <w:rsid w:val="005C1D88"/>
    <w:rsid w:val="005C1F89"/>
    <w:rsid w:val="005C20ED"/>
    <w:rsid w:val="005C26D6"/>
    <w:rsid w:val="005C27D1"/>
    <w:rsid w:val="005C285C"/>
    <w:rsid w:val="005C2939"/>
    <w:rsid w:val="005C341E"/>
    <w:rsid w:val="005C3947"/>
    <w:rsid w:val="005C3B4E"/>
    <w:rsid w:val="005C3BE0"/>
    <w:rsid w:val="005C3C1F"/>
    <w:rsid w:val="005C3FCF"/>
    <w:rsid w:val="005C414A"/>
    <w:rsid w:val="005C439A"/>
    <w:rsid w:val="005C4E19"/>
    <w:rsid w:val="005C5262"/>
    <w:rsid w:val="005C539B"/>
    <w:rsid w:val="005C5953"/>
    <w:rsid w:val="005C5C89"/>
    <w:rsid w:val="005C5E26"/>
    <w:rsid w:val="005C64E0"/>
    <w:rsid w:val="005C652F"/>
    <w:rsid w:val="005C6AF6"/>
    <w:rsid w:val="005C6D11"/>
    <w:rsid w:val="005C724D"/>
    <w:rsid w:val="005C75E0"/>
    <w:rsid w:val="005C7B45"/>
    <w:rsid w:val="005D045D"/>
    <w:rsid w:val="005D0492"/>
    <w:rsid w:val="005D128E"/>
    <w:rsid w:val="005D13BF"/>
    <w:rsid w:val="005D1B5F"/>
    <w:rsid w:val="005D1E87"/>
    <w:rsid w:val="005D20E7"/>
    <w:rsid w:val="005D2336"/>
    <w:rsid w:val="005D26BD"/>
    <w:rsid w:val="005D2DF6"/>
    <w:rsid w:val="005D3041"/>
    <w:rsid w:val="005D308F"/>
    <w:rsid w:val="005D30EC"/>
    <w:rsid w:val="005D31B2"/>
    <w:rsid w:val="005D331D"/>
    <w:rsid w:val="005D33CE"/>
    <w:rsid w:val="005D33F8"/>
    <w:rsid w:val="005D396F"/>
    <w:rsid w:val="005D3984"/>
    <w:rsid w:val="005D39B9"/>
    <w:rsid w:val="005D3B91"/>
    <w:rsid w:val="005D3F59"/>
    <w:rsid w:val="005D4524"/>
    <w:rsid w:val="005D4619"/>
    <w:rsid w:val="005D478D"/>
    <w:rsid w:val="005D4DA9"/>
    <w:rsid w:val="005D4DC0"/>
    <w:rsid w:val="005D5042"/>
    <w:rsid w:val="005D50C9"/>
    <w:rsid w:val="005D50DE"/>
    <w:rsid w:val="005D5105"/>
    <w:rsid w:val="005D52AA"/>
    <w:rsid w:val="005D52C6"/>
    <w:rsid w:val="005D543A"/>
    <w:rsid w:val="005D5769"/>
    <w:rsid w:val="005D602F"/>
    <w:rsid w:val="005D6154"/>
    <w:rsid w:val="005D61D3"/>
    <w:rsid w:val="005D6239"/>
    <w:rsid w:val="005D6607"/>
    <w:rsid w:val="005D6971"/>
    <w:rsid w:val="005D6ADB"/>
    <w:rsid w:val="005D6D97"/>
    <w:rsid w:val="005D705E"/>
    <w:rsid w:val="005D714A"/>
    <w:rsid w:val="005D7BA6"/>
    <w:rsid w:val="005D7BD7"/>
    <w:rsid w:val="005D7FA8"/>
    <w:rsid w:val="005E0546"/>
    <w:rsid w:val="005E08A8"/>
    <w:rsid w:val="005E0F6B"/>
    <w:rsid w:val="005E1136"/>
    <w:rsid w:val="005E1559"/>
    <w:rsid w:val="005E1578"/>
    <w:rsid w:val="005E1807"/>
    <w:rsid w:val="005E1E4A"/>
    <w:rsid w:val="005E1E9A"/>
    <w:rsid w:val="005E1F1C"/>
    <w:rsid w:val="005E22CB"/>
    <w:rsid w:val="005E233C"/>
    <w:rsid w:val="005E247F"/>
    <w:rsid w:val="005E271D"/>
    <w:rsid w:val="005E2783"/>
    <w:rsid w:val="005E2851"/>
    <w:rsid w:val="005E2978"/>
    <w:rsid w:val="005E2C77"/>
    <w:rsid w:val="005E2C82"/>
    <w:rsid w:val="005E2D04"/>
    <w:rsid w:val="005E2F84"/>
    <w:rsid w:val="005E342B"/>
    <w:rsid w:val="005E35E5"/>
    <w:rsid w:val="005E37A1"/>
    <w:rsid w:val="005E38C0"/>
    <w:rsid w:val="005E3AC8"/>
    <w:rsid w:val="005E460A"/>
    <w:rsid w:val="005E4B82"/>
    <w:rsid w:val="005E4D0D"/>
    <w:rsid w:val="005E504F"/>
    <w:rsid w:val="005E50DE"/>
    <w:rsid w:val="005E54F9"/>
    <w:rsid w:val="005E5A6D"/>
    <w:rsid w:val="005E5ACC"/>
    <w:rsid w:val="005E5AEA"/>
    <w:rsid w:val="005E61CB"/>
    <w:rsid w:val="005E6382"/>
    <w:rsid w:val="005E648A"/>
    <w:rsid w:val="005E6549"/>
    <w:rsid w:val="005E677B"/>
    <w:rsid w:val="005E67A5"/>
    <w:rsid w:val="005E6CB6"/>
    <w:rsid w:val="005E6DAB"/>
    <w:rsid w:val="005E7187"/>
    <w:rsid w:val="005E7319"/>
    <w:rsid w:val="005E7395"/>
    <w:rsid w:val="005E7514"/>
    <w:rsid w:val="005E75F0"/>
    <w:rsid w:val="005E764F"/>
    <w:rsid w:val="005E7A50"/>
    <w:rsid w:val="005E7C8F"/>
    <w:rsid w:val="005E7D43"/>
    <w:rsid w:val="005F04E0"/>
    <w:rsid w:val="005F051C"/>
    <w:rsid w:val="005F05F0"/>
    <w:rsid w:val="005F064C"/>
    <w:rsid w:val="005F09A4"/>
    <w:rsid w:val="005F0AB3"/>
    <w:rsid w:val="005F0AE1"/>
    <w:rsid w:val="005F0E0C"/>
    <w:rsid w:val="005F168F"/>
    <w:rsid w:val="005F19C3"/>
    <w:rsid w:val="005F1AC7"/>
    <w:rsid w:val="005F1C69"/>
    <w:rsid w:val="005F1C7E"/>
    <w:rsid w:val="005F200E"/>
    <w:rsid w:val="005F212A"/>
    <w:rsid w:val="005F22C1"/>
    <w:rsid w:val="005F2780"/>
    <w:rsid w:val="005F2817"/>
    <w:rsid w:val="005F2CCE"/>
    <w:rsid w:val="005F2D7B"/>
    <w:rsid w:val="005F3136"/>
    <w:rsid w:val="005F317E"/>
    <w:rsid w:val="005F32BC"/>
    <w:rsid w:val="005F3479"/>
    <w:rsid w:val="005F3810"/>
    <w:rsid w:val="005F3EA1"/>
    <w:rsid w:val="005F4177"/>
    <w:rsid w:val="005F41A2"/>
    <w:rsid w:val="005F41FA"/>
    <w:rsid w:val="005F4578"/>
    <w:rsid w:val="005F46D5"/>
    <w:rsid w:val="005F4B96"/>
    <w:rsid w:val="005F4BA7"/>
    <w:rsid w:val="005F4CB9"/>
    <w:rsid w:val="005F4D2D"/>
    <w:rsid w:val="005F4E12"/>
    <w:rsid w:val="005F4F23"/>
    <w:rsid w:val="005F5144"/>
    <w:rsid w:val="005F52C2"/>
    <w:rsid w:val="005F537B"/>
    <w:rsid w:val="005F5520"/>
    <w:rsid w:val="005F5866"/>
    <w:rsid w:val="005F5B41"/>
    <w:rsid w:val="005F6435"/>
    <w:rsid w:val="005F66EA"/>
    <w:rsid w:val="005F67CC"/>
    <w:rsid w:val="005F6990"/>
    <w:rsid w:val="005F6AA9"/>
    <w:rsid w:val="005F6DDC"/>
    <w:rsid w:val="005F7095"/>
    <w:rsid w:val="005F7BA0"/>
    <w:rsid w:val="006000E7"/>
    <w:rsid w:val="006005CF"/>
    <w:rsid w:val="006006FB"/>
    <w:rsid w:val="00601502"/>
    <w:rsid w:val="00601562"/>
    <w:rsid w:val="006017A7"/>
    <w:rsid w:val="0060198C"/>
    <w:rsid w:val="006019C6"/>
    <w:rsid w:val="006019D8"/>
    <w:rsid w:val="00601B13"/>
    <w:rsid w:val="00601E57"/>
    <w:rsid w:val="00602037"/>
    <w:rsid w:val="00602837"/>
    <w:rsid w:val="00602908"/>
    <w:rsid w:val="00602B41"/>
    <w:rsid w:val="00602B7A"/>
    <w:rsid w:val="0060328E"/>
    <w:rsid w:val="00603330"/>
    <w:rsid w:val="006035F2"/>
    <w:rsid w:val="00603EE1"/>
    <w:rsid w:val="0060406A"/>
    <w:rsid w:val="006049D6"/>
    <w:rsid w:val="00604AA1"/>
    <w:rsid w:val="00605016"/>
    <w:rsid w:val="006052BF"/>
    <w:rsid w:val="0060532F"/>
    <w:rsid w:val="006059FC"/>
    <w:rsid w:val="006061A2"/>
    <w:rsid w:val="006062D8"/>
    <w:rsid w:val="00606EA2"/>
    <w:rsid w:val="006072AB"/>
    <w:rsid w:val="00607489"/>
    <w:rsid w:val="0060784E"/>
    <w:rsid w:val="00607C92"/>
    <w:rsid w:val="00607ECC"/>
    <w:rsid w:val="0061040F"/>
    <w:rsid w:val="0061178D"/>
    <w:rsid w:val="00611970"/>
    <w:rsid w:val="00611EAA"/>
    <w:rsid w:val="00611FF2"/>
    <w:rsid w:val="006123CF"/>
    <w:rsid w:val="0061247F"/>
    <w:rsid w:val="00612848"/>
    <w:rsid w:val="00612889"/>
    <w:rsid w:val="00612B1C"/>
    <w:rsid w:val="00612D09"/>
    <w:rsid w:val="00612E4D"/>
    <w:rsid w:val="00612E4E"/>
    <w:rsid w:val="006130FB"/>
    <w:rsid w:val="00613195"/>
    <w:rsid w:val="0061369E"/>
    <w:rsid w:val="00613B68"/>
    <w:rsid w:val="00613DB5"/>
    <w:rsid w:val="00613EFA"/>
    <w:rsid w:val="00613FBC"/>
    <w:rsid w:val="006140E5"/>
    <w:rsid w:val="006140ED"/>
    <w:rsid w:val="00614188"/>
    <w:rsid w:val="0061449B"/>
    <w:rsid w:val="006145B9"/>
    <w:rsid w:val="00614743"/>
    <w:rsid w:val="006148C7"/>
    <w:rsid w:val="00615189"/>
    <w:rsid w:val="006156C3"/>
    <w:rsid w:val="006158F9"/>
    <w:rsid w:val="00615A30"/>
    <w:rsid w:val="00615B7B"/>
    <w:rsid w:val="00615C14"/>
    <w:rsid w:val="00615C8C"/>
    <w:rsid w:val="0061613C"/>
    <w:rsid w:val="00616531"/>
    <w:rsid w:val="00616807"/>
    <w:rsid w:val="00616A02"/>
    <w:rsid w:val="00616B1A"/>
    <w:rsid w:val="006176A5"/>
    <w:rsid w:val="006202E9"/>
    <w:rsid w:val="00620891"/>
    <w:rsid w:val="006209F7"/>
    <w:rsid w:val="0062148D"/>
    <w:rsid w:val="00621864"/>
    <w:rsid w:val="00621A62"/>
    <w:rsid w:val="00622160"/>
    <w:rsid w:val="00622663"/>
    <w:rsid w:val="006228A8"/>
    <w:rsid w:val="006229F4"/>
    <w:rsid w:val="00622D24"/>
    <w:rsid w:val="00622DA9"/>
    <w:rsid w:val="0062330C"/>
    <w:rsid w:val="00623330"/>
    <w:rsid w:val="00623454"/>
    <w:rsid w:val="006236C4"/>
    <w:rsid w:val="00623754"/>
    <w:rsid w:val="006239C9"/>
    <w:rsid w:val="00623B60"/>
    <w:rsid w:val="00623C35"/>
    <w:rsid w:val="00623C78"/>
    <w:rsid w:val="00623C94"/>
    <w:rsid w:val="006240BD"/>
    <w:rsid w:val="00624A4A"/>
    <w:rsid w:val="00624A4C"/>
    <w:rsid w:val="00624BEF"/>
    <w:rsid w:val="00624C08"/>
    <w:rsid w:val="00625007"/>
    <w:rsid w:val="00625049"/>
    <w:rsid w:val="006250FE"/>
    <w:rsid w:val="00625172"/>
    <w:rsid w:val="006254B2"/>
    <w:rsid w:val="00625614"/>
    <w:rsid w:val="0062591E"/>
    <w:rsid w:val="00625925"/>
    <w:rsid w:val="00625B30"/>
    <w:rsid w:val="00625E81"/>
    <w:rsid w:val="0062678B"/>
    <w:rsid w:val="00626E95"/>
    <w:rsid w:val="00627256"/>
    <w:rsid w:val="0062746F"/>
    <w:rsid w:val="00627D02"/>
    <w:rsid w:val="00627D1D"/>
    <w:rsid w:val="00627D7D"/>
    <w:rsid w:val="00627E8A"/>
    <w:rsid w:val="00630045"/>
    <w:rsid w:val="0063089B"/>
    <w:rsid w:val="006308B8"/>
    <w:rsid w:val="00630984"/>
    <w:rsid w:val="00631A18"/>
    <w:rsid w:val="00631CF9"/>
    <w:rsid w:val="006325F9"/>
    <w:rsid w:val="006327D1"/>
    <w:rsid w:val="006327F6"/>
    <w:rsid w:val="006328C9"/>
    <w:rsid w:val="0063294F"/>
    <w:rsid w:val="00632950"/>
    <w:rsid w:val="00632CA5"/>
    <w:rsid w:val="00632EFB"/>
    <w:rsid w:val="00632F47"/>
    <w:rsid w:val="00632F6D"/>
    <w:rsid w:val="0063307C"/>
    <w:rsid w:val="00633D46"/>
    <w:rsid w:val="00633FF6"/>
    <w:rsid w:val="006340F0"/>
    <w:rsid w:val="006342F3"/>
    <w:rsid w:val="006345E1"/>
    <w:rsid w:val="0063483E"/>
    <w:rsid w:val="00634964"/>
    <w:rsid w:val="006349C1"/>
    <w:rsid w:val="00634A38"/>
    <w:rsid w:val="00634AE2"/>
    <w:rsid w:val="00634DC7"/>
    <w:rsid w:val="00634DD1"/>
    <w:rsid w:val="006359FB"/>
    <w:rsid w:val="00635ABC"/>
    <w:rsid w:val="00635E87"/>
    <w:rsid w:val="00635F2C"/>
    <w:rsid w:val="006362E2"/>
    <w:rsid w:val="00636512"/>
    <w:rsid w:val="00636577"/>
    <w:rsid w:val="0063658D"/>
    <w:rsid w:val="00636841"/>
    <w:rsid w:val="00636A87"/>
    <w:rsid w:val="00636C2F"/>
    <w:rsid w:val="00636FD0"/>
    <w:rsid w:val="00637849"/>
    <w:rsid w:val="00637E19"/>
    <w:rsid w:val="00640265"/>
    <w:rsid w:val="006403CE"/>
    <w:rsid w:val="0064040D"/>
    <w:rsid w:val="006404F0"/>
    <w:rsid w:val="00640556"/>
    <w:rsid w:val="0064064A"/>
    <w:rsid w:val="006406A5"/>
    <w:rsid w:val="00640798"/>
    <w:rsid w:val="006408A4"/>
    <w:rsid w:val="00640A3F"/>
    <w:rsid w:val="006411CB"/>
    <w:rsid w:val="00641511"/>
    <w:rsid w:val="00641706"/>
    <w:rsid w:val="00642149"/>
    <w:rsid w:val="00642780"/>
    <w:rsid w:val="006428EF"/>
    <w:rsid w:val="006428F0"/>
    <w:rsid w:val="00642AA5"/>
    <w:rsid w:val="00642B88"/>
    <w:rsid w:val="006432E4"/>
    <w:rsid w:val="00643321"/>
    <w:rsid w:val="00643B55"/>
    <w:rsid w:val="00643BEA"/>
    <w:rsid w:val="00643C90"/>
    <w:rsid w:val="00643D7D"/>
    <w:rsid w:val="00643E51"/>
    <w:rsid w:val="0064429D"/>
    <w:rsid w:val="00644522"/>
    <w:rsid w:val="006445C9"/>
    <w:rsid w:val="00644F1C"/>
    <w:rsid w:val="006450B5"/>
    <w:rsid w:val="006450F2"/>
    <w:rsid w:val="00645130"/>
    <w:rsid w:val="006458D3"/>
    <w:rsid w:val="00645E10"/>
    <w:rsid w:val="00646027"/>
    <w:rsid w:val="0064627C"/>
    <w:rsid w:val="0064670F"/>
    <w:rsid w:val="00646759"/>
    <w:rsid w:val="00646A6A"/>
    <w:rsid w:val="00646D2C"/>
    <w:rsid w:val="00646FC5"/>
    <w:rsid w:val="0064713C"/>
    <w:rsid w:val="00647359"/>
    <w:rsid w:val="00647596"/>
    <w:rsid w:val="00647AD8"/>
    <w:rsid w:val="00650044"/>
    <w:rsid w:val="006501CE"/>
    <w:rsid w:val="006503F0"/>
    <w:rsid w:val="0065042E"/>
    <w:rsid w:val="006506FE"/>
    <w:rsid w:val="00650781"/>
    <w:rsid w:val="006509A2"/>
    <w:rsid w:val="00650C2D"/>
    <w:rsid w:val="00651822"/>
    <w:rsid w:val="00651AE9"/>
    <w:rsid w:val="00651BEF"/>
    <w:rsid w:val="00652272"/>
    <w:rsid w:val="006523DF"/>
    <w:rsid w:val="0065259D"/>
    <w:rsid w:val="00652A68"/>
    <w:rsid w:val="00653687"/>
    <w:rsid w:val="0065417A"/>
    <w:rsid w:val="00654181"/>
    <w:rsid w:val="006542F1"/>
    <w:rsid w:val="006542F9"/>
    <w:rsid w:val="00654596"/>
    <w:rsid w:val="00654630"/>
    <w:rsid w:val="00654A7C"/>
    <w:rsid w:val="00654BB6"/>
    <w:rsid w:val="00654E96"/>
    <w:rsid w:val="00654ECF"/>
    <w:rsid w:val="00654F37"/>
    <w:rsid w:val="006552BD"/>
    <w:rsid w:val="006555A0"/>
    <w:rsid w:val="006559F3"/>
    <w:rsid w:val="00655AD9"/>
    <w:rsid w:val="00655BFA"/>
    <w:rsid w:val="00655CE5"/>
    <w:rsid w:val="00655D9B"/>
    <w:rsid w:val="00655F5D"/>
    <w:rsid w:val="00656582"/>
    <w:rsid w:val="0065680C"/>
    <w:rsid w:val="00656ABC"/>
    <w:rsid w:val="00656CED"/>
    <w:rsid w:val="00656FDB"/>
    <w:rsid w:val="006570EB"/>
    <w:rsid w:val="00657132"/>
    <w:rsid w:val="00657299"/>
    <w:rsid w:val="006574B8"/>
    <w:rsid w:val="00657BB4"/>
    <w:rsid w:val="00657E32"/>
    <w:rsid w:val="00657F23"/>
    <w:rsid w:val="00657FB9"/>
    <w:rsid w:val="00660008"/>
    <w:rsid w:val="006603CA"/>
    <w:rsid w:val="00660444"/>
    <w:rsid w:val="00660470"/>
    <w:rsid w:val="00660683"/>
    <w:rsid w:val="00660776"/>
    <w:rsid w:val="00660C53"/>
    <w:rsid w:val="0066101D"/>
    <w:rsid w:val="0066113F"/>
    <w:rsid w:val="006611B0"/>
    <w:rsid w:val="006614EE"/>
    <w:rsid w:val="00661754"/>
    <w:rsid w:val="006618B8"/>
    <w:rsid w:val="00661A3B"/>
    <w:rsid w:val="00661A72"/>
    <w:rsid w:val="00661AF7"/>
    <w:rsid w:val="00661D32"/>
    <w:rsid w:val="00661FC4"/>
    <w:rsid w:val="00661FDF"/>
    <w:rsid w:val="006621FD"/>
    <w:rsid w:val="00662337"/>
    <w:rsid w:val="00662851"/>
    <w:rsid w:val="00662873"/>
    <w:rsid w:val="00662924"/>
    <w:rsid w:val="00662AC0"/>
    <w:rsid w:val="00662DAE"/>
    <w:rsid w:val="00662F50"/>
    <w:rsid w:val="00663222"/>
    <w:rsid w:val="006633D6"/>
    <w:rsid w:val="006633F1"/>
    <w:rsid w:val="0066363F"/>
    <w:rsid w:val="00663794"/>
    <w:rsid w:val="00663C0B"/>
    <w:rsid w:val="00663C91"/>
    <w:rsid w:val="00663E00"/>
    <w:rsid w:val="00664172"/>
    <w:rsid w:val="0066432B"/>
    <w:rsid w:val="00664469"/>
    <w:rsid w:val="006644EA"/>
    <w:rsid w:val="006649B4"/>
    <w:rsid w:val="00664C16"/>
    <w:rsid w:val="00664F30"/>
    <w:rsid w:val="00665085"/>
    <w:rsid w:val="00665176"/>
    <w:rsid w:val="00665356"/>
    <w:rsid w:val="006654F5"/>
    <w:rsid w:val="00665A54"/>
    <w:rsid w:val="00665E52"/>
    <w:rsid w:val="00665EBC"/>
    <w:rsid w:val="00666170"/>
    <w:rsid w:val="00666371"/>
    <w:rsid w:val="006664A0"/>
    <w:rsid w:val="006669B2"/>
    <w:rsid w:val="00666E8A"/>
    <w:rsid w:val="00666FD4"/>
    <w:rsid w:val="006671F7"/>
    <w:rsid w:val="00667445"/>
    <w:rsid w:val="006678B0"/>
    <w:rsid w:val="006678BA"/>
    <w:rsid w:val="00667919"/>
    <w:rsid w:val="00667982"/>
    <w:rsid w:val="00667B0E"/>
    <w:rsid w:val="00667E8D"/>
    <w:rsid w:val="0067075F"/>
    <w:rsid w:val="00670D3F"/>
    <w:rsid w:val="0067128C"/>
    <w:rsid w:val="0067188D"/>
    <w:rsid w:val="00671C66"/>
    <w:rsid w:val="00671F6A"/>
    <w:rsid w:val="00672044"/>
    <w:rsid w:val="00672414"/>
    <w:rsid w:val="0067250B"/>
    <w:rsid w:val="0067292B"/>
    <w:rsid w:val="006729D3"/>
    <w:rsid w:val="00672B40"/>
    <w:rsid w:val="006730FF"/>
    <w:rsid w:val="006731F6"/>
    <w:rsid w:val="0067337A"/>
    <w:rsid w:val="0067367E"/>
    <w:rsid w:val="006738DA"/>
    <w:rsid w:val="00673963"/>
    <w:rsid w:val="00673BD2"/>
    <w:rsid w:val="00673C31"/>
    <w:rsid w:val="00673EEE"/>
    <w:rsid w:val="00673F75"/>
    <w:rsid w:val="006741DF"/>
    <w:rsid w:val="0067428B"/>
    <w:rsid w:val="006744BE"/>
    <w:rsid w:val="00674854"/>
    <w:rsid w:val="00674BE0"/>
    <w:rsid w:val="00674DAD"/>
    <w:rsid w:val="00675013"/>
    <w:rsid w:val="006751A5"/>
    <w:rsid w:val="00675217"/>
    <w:rsid w:val="006753D7"/>
    <w:rsid w:val="00675487"/>
    <w:rsid w:val="00675530"/>
    <w:rsid w:val="00675983"/>
    <w:rsid w:val="00675A74"/>
    <w:rsid w:val="00675CB5"/>
    <w:rsid w:val="00675D92"/>
    <w:rsid w:val="00676050"/>
    <w:rsid w:val="006764BF"/>
    <w:rsid w:val="00676708"/>
    <w:rsid w:val="00676BB2"/>
    <w:rsid w:val="00676CE5"/>
    <w:rsid w:val="00676D76"/>
    <w:rsid w:val="00677009"/>
    <w:rsid w:val="00677391"/>
    <w:rsid w:val="00677435"/>
    <w:rsid w:val="00677563"/>
    <w:rsid w:val="00677658"/>
    <w:rsid w:val="006778AB"/>
    <w:rsid w:val="0067790B"/>
    <w:rsid w:val="00677D9C"/>
    <w:rsid w:val="00677F33"/>
    <w:rsid w:val="00677FC5"/>
    <w:rsid w:val="00680414"/>
    <w:rsid w:val="00680C66"/>
    <w:rsid w:val="00681481"/>
    <w:rsid w:val="00681980"/>
    <w:rsid w:val="00682126"/>
    <w:rsid w:val="00682220"/>
    <w:rsid w:val="0068236C"/>
    <w:rsid w:val="00682498"/>
    <w:rsid w:val="00682798"/>
    <w:rsid w:val="00683676"/>
    <w:rsid w:val="0068393F"/>
    <w:rsid w:val="00683E53"/>
    <w:rsid w:val="00684354"/>
    <w:rsid w:val="006843DE"/>
    <w:rsid w:val="0068449B"/>
    <w:rsid w:val="00684649"/>
    <w:rsid w:val="00684CFD"/>
    <w:rsid w:val="0068502D"/>
    <w:rsid w:val="0068507C"/>
    <w:rsid w:val="00685491"/>
    <w:rsid w:val="006855D6"/>
    <w:rsid w:val="00685B0B"/>
    <w:rsid w:val="00685CD3"/>
    <w:rsid w:val="00685E4F"/>
    <w:rsid w:val="00685EBD"/>
    <w:rsid w:val="00685EFE"/>
    <w:rsid w:val="006863AE"/>
    <w:rsid w:val="00686893"/>
    <w:rsid w:val="00686B78"/>
    <w:rsid w:val="00686E9D"/>
    <w:rsid w:val="00686F47"/>
    <w:rsid w:val="0068726E"/>
    <w:rsid w:val="006873B6"/>
    <w:rsid w:val="006912D2"/>
    <w:rsid w:val="006913F1"/>
    <w:rsid w:val="006913F6"/>
    <w:rsid w:val="006913F8"/>
    <w:rsid w:val="006914A5"/>
    <w:rsid w:val="00691CA7"/>
    <w:rsid w:val="00691E88"/>
    <w:rsid w:val="00692225"/>
    <w:rsid w:val="00692233"/>
    <w:rsid w:val="00692538"/>
    <w:rsid w:val="00692760"/>
    <w:rsid w:val="00692A27"/>
    <w:rsid w:val="00692AA9"/>
    <w:rsid w:val="00692B23"/>
    <w:rsid w:val="00693214"/>
    <w:rsid w:val="00693248"/>
    <w:rsid w:val="0069351B"/>
    <w:rsid w:val="0069373E"/>
    <w:rsid w:val="006938FB"/>
    <w:rsid w:val="00693C00"/>
    <w:rsid w:val="00693CE6"/>
    <w:rsid w:val="00693E38"/>
    <w:rsid w:val="00694009"/>
    <w:rsid w:val="00694015"/>
    <w:rsid w:val="006940AA"/>
    <w:rsid w:val="006941A3"/>
    <w:rsid w:val="00694788"/>
    <w:rsid w:val="006947DE"/>
    <w:rsid w:val="006949AA"/>
    <w:rsid w:val="00694D4D"/>
    <w:rsid w:val="00695454"/>
    <w:rsid w:val="006954E4"/>
    <w:rsid w:val="0069571C"/>
    <w:rsid w:val="00695A4D"/>
    <w:rsid w:val="00695E01"/>
    <w:rsid w:val="00695EA5"/>
    <w:rsid w:val="006964B5"/>
    <w:rsid w:val="006967E9"/>
    <w:rsid w:val="0069681F"/>
    <w:rsid w:val="0069698F"/>
    <w:rsid w:val="006969FC"/>
    <w:rsid w:val="00696B07"/>
    <w:rsid w:val="00696C39"/>
    <w:rsid w:val="00697187"/>
    <w:rsid w:val="00697277"/>
    <w:rsid w:val="00697598"/>
    <w:rsid w:val="006978EB"/>
    <w:rsid w:val="00697933"/>
    <w:rsid w:val="00697B8A"/>
    <w:rsid w:val="00697DA7"/>
    <w:rsid w:val="006A0019"/>
    <w:rsid w:val="006A0C50"/>
    <w:rsid w:val="006A10DE"/>
    <w:rsid w:val="006A1550"/>
    <w:rsid w:val="006A191F"/>
    <w:rsid w:val="006A1F75"/>
    <w:rsid w:val="006A1F79"/>
    <w:rsid w:val="006A1FD9"/>
    <w:rsid w:val="006A1FFD"/>
    <w:rsid w:val="006A218E"/>
    <w:rsid w:val="006A226E"/>
    <w:rsid w:val="006A2408"/>
    <w:rsid w:val="006A281A"/>
    <w:rsid w:val="006A2AFB"/>
    <w:rsid w:val="006A2F24"/>
    <w:rsid w:val="006A2FA9"/>
    <w:rsid w:val="006A3391"/>
    <w:rsid w:val="006A3660"/>
    <w:rsid w:val="006A3A57"/>
    <w:rsid w:val="006A4214"/>
    <w:rsid w:val="006A4828"/>
    <w:rsid w:val="006A4937"/>
    <w:rsid w:val="006A4A76"/>
    <w:rsid w:val="006A4D6E"/>
    <w:rsid w:val="006A4F7B"/>
    <w:rsid w:val="006A5156"/>
    <w:rsid w:val="006A5A6C"/>
    <w:rsid w:val="006A5C28"/>
    <w:rsid w:val="006A5D70"/>
    <w:rsid w:val="006A61C2"/>
    <w:rsid w:val="006A64D3"/>
    <w:rsid w:val="006A654E"/>
    <w:rsid w:val="006A7670"/>
    <w:rsid w:val="006A78E0"/>
    <w:rsid w:val="006A7C9D"/>
    <w:rsid w:val="006A7DE1"/>
    <w:rsid w:val="006A7E58"/>
    <w:rsid w:val="006A7E67"/>
    <w:rsid w:val="006B02B8"/>
    <w:rsid w:val="006B0412"/>
    <w:rsid w:val="006B043A"/>
    <w:rsid w:val="006B08F8"/>
    <w:rsid w:val="006B09E6"/>
    <w:rsid w:val="006B0A90"/>
    <w:rsid w:val="006B107B"/>
    <w:rsid w:val="006B1393"/>
    <w:rsid w:val="006B1708"/>
    <w:rsid w:val="006B1948"/>
    <w:rsid w:val="006B1B28"/>
    <w:rsid w:val="006B1C40"/>
    <w:rsid w:val="006B20F0"/>
    <w:rsid w:val="006B24CC"/>
    <w:rsid w:val="006B255A"/>
    <w:rsid w:val="006B2981"/>
    <w:rsid w:val="006B2BCD"/>
    <w:rsid w:val="006B2D5C"/>
    <w:rsid w:val="006B2FCD"/>
    <w:rsid w:val="006B30AA"/>
    <w:rsid w:val="006B3119"/>
    <w:rsid w:val="006B3176"/>
    <w:rsid w:val="006B31C4"/>
    <w:rsid w:val="006B3310"/>
    <w:rsid w:val="006B3495"/>
    <w:rsid w:val="006B3C8E"/>
    <w:rsid w:val="006B3FAA"/>
    <w:rsid w:val="006B459F"/>
    <w:rsid w:val="006B4B39"/>
    <w:rsid w:val="006B4B45"/>
    <w:rsid w:val="006B5424"/>
    <w:rsid w:val="006B561D"/>
    <w:rsid w:val="006B5B1E"/>
    <w:rsid w:val="006B5EDC"/>
    <w:rsid w:val="006B602F"/>
    <w:rsid w:val="006B60D4"/>
    <w:rsid w:val="006B6A83"/>
    <w:rsid w:val="006B6EB1"/>
    <w:rsid w:val="006B7069"/>
    <w:rsid w:val="006B737F"/>
    <w:rsid w:val="006B75DF"/>
    <w:rsid w:val="006B77A6"/>
    <w:rsid w:val="006B77B7"/>
    <w:rsid w:val="006C008E"/>
    <w:rsid w:val="006C00A2"/>
    <w:rsid w:val="006C02D8"/>
    <w:rsid w:val="006C0394"/>
    <w:rsid w:val="006C055E"/>
    <w:rsid w:val="006C0744"/>
    <w:rsid w:val="006C0B57"/>
    <w:rsid w:val="006C0C62"/>
    <w:rsid w:val="006C0E23"/>
    <w:rsid w:val="006C10AF"/>
    <w:rsid w:val="006C132D"/>
    <w:rsid w:val="006C1885"/>
    <w:rsid w:val="006C192E"/>
    <w:rsid w:val="006C2022"/>
    <w:rsid w:val="006C2162"/>
    <w:rsid w:val="006C2254"/>
    <w:rsid w:val="006C234C"/>
    <w:rsid w:val="006C2814"/>
    <w:rsid w:val="006C2920"/>
    <w:rsid w:val="006C2B3B"/>
    <w:rsid w:val="006C2FA8"/>
    <w:rsid w:val="006C3006"/>
    <w:rsid w:val="006C34B9"/>
    <w:rsid w:val="006C3DE0"/>
    <w:rsid w:val="006C3E26"/>
    <w:rsid w:val="006C4008"/>
    <w:rsid w:val="006C40E2"/>
    <w:rsid w:val="006C4144"/>
    <w:rsid w:val="006C42D4"/>
    <w:rsid w:val="006C4354"/>
    <w:rsid w:val="006C4553"/>
    <w:rsid w:val="006C476F"/>
    <w:rsid w:val="006C4D87"/>
    <w:rsid w:val="006C4EF3"/>
    <w:rsid w:val="006C576D"/>
    <w:rsid w:val="006C5DEA"/>
    <w:rsid w:val="006C5F1A"/>
    <w:rsid w:val="006C6247"/>
    <w:rsid w:val="006C62FF"/>
    <w:rsid w:val="006C6577"/>
    <w:rsid w:val="006C6859"/>
    <w:rsid w:val="006C6BC5"/>
    <w:rsid w:val="006C6CDE"/>
    <w:rsid w:val="006C7039"/>
    <w:rsid w:val="006C7050"/>
    <w:rsid w:val="006C7360"/>
    <w:rsid w:val="006C736C"/>
    <w:rsid w:val="006C7A9C"/>
    <w:rsid w:val="006D01AD"/>
    <w:rsid w:val="006D034F"/>
    <w:rsid w:val="006D07C6"/>
    <w:rsid w:val="006D09E6"/>
    <w:rsid w:val="006D0B42"/>
    <w:rsid w:val="006D1303"/>
    <w:rsid w:val="006D1352"/>
    <w:rsid w:val="006D18EE"/>
    <w:rsid w:val="006D1A73"/>
    <w:rsid w:val="006D1EF4"/>
    <w:rsid w:val="006D1FD9"/>
    <w:rsid w:val="006D2066"/>
    <w:rsid w:val="006D21C6"/>
    <w:rsid w:val="006D231C"/>
    <w:rsid w:val="006D242B"/>
    <w:rsid w:val="006D250E"/>
    <w:rsid w:val="006D27CA"/>
    <w:rsid w:val="006D307C"/>
    <w:rsid w:val="006D338E"/>
    <w:rsid w:val="006D391F"/>
    <w:rsid w:val="006D394D"/>
    <w:rsid w:val="006D3A46"/>
    <w:rsid w:val="006D3BFE"/>
    <w:rsid w:val="006D3D5E"/>
    <w:rsid w:val="006D40AC"/>
    <w:rsid w:val="006D43BC"/>
    <w:rsid w:val="006D44D8"/>
    <w:rsid w:val="006D4733"/>
    <w:rsid w:val="006D478E"/>
    <w:rsid w:val="006D4AC2"/>
    <w:rsid w:val="006D4C62"/>
    <w:rsid w:val="006D54DC"/>
    <w:rsid w:val="006D55BB"/>
    <w:rsid w:val="006D594C"/>
    <w:rsid w:val="006D5956"/>
    <w:rsid w:val="006D59F0"/>
    <w:rsid w:val="006D5B08"/>
    <w:rsid w:val="006D5B29"/>
    <w:rsid w:val="006D5BB4"/>
    <w:rsid w:val="006D5C6D"/>
    <w:rsid w:val="006D5F6D"/>
    <w:rsid w:val="006D5F75"/>
    <w:rsid w:val="006D622C"/>
    <w:rsid w:val="006D6615"/>
    <w:rsid w:val="006D6A5F"/>
    <w:rsid w:val="006D6D91"/>
    <w:rsid w:val="006D6F82"/>
    <w:rsid w:val="006D73E1"/>
    <w:rsid w:val="006D75E5"/>
    <w:rsid w:val="006E0029"/>
    <w:rsid w:val="006E033C"/>
    <w:rsid w:val="006E0811"/>
    <w:rsid w:val="006E083E"/>
    <w:rsid w:val="006E0983"/>
    <w:rsid w:val="006E0A5B"/>
    <w:rsid w:val="006E0A72"/>
    <w:rsid w:val="006E0EC1"/>
    <w:rsid w:val="006E11BB"/>
    <w:rsid w:val="006E152C"/>
    <w:rsid w:val="006E1552"/>
    <w:rsid w:val="006E164D"/>
    <w:rsid w:val="006E1DDD"/>
    <w:rsid w:val="006E1E41"/>
    <w:rsid w:val="006E20A3"/>
    <w:rsid w:val="006E2546"/>
    <w:rsid w:val="006E279E"/>
    <w:rsid w:val="006E2A89"/>
    <w:rsid w:val="006E34C1"/>
    <w:rsid w:val="006E36B2"/>
    <w:rsid w:val="006E38A3"/>
    <w:rsid w:val="006E3C6D"/>
    <w:rsid w:val="006E47AB"/>
    <w:rsid w:val="006E5431"/>
    <w:rsid w:val="006E5501"/>
    <w:rsid w:val="006E59B2"/>
    <w:rsid w:val="006E5D01"/>
    <w:rsid w:val="006E60BF"/>
    <w:rsid w:val="006E6183"/>
    <w:rsid w:val="006E6361"/>
    <w:rsid w:val="006E64BC"/>
    <w:rsid w:val="006E6D53"/>
    <w:rsid w:val="006E7282"/>
    <w:rsid w:val="006E77B6"/>
    <w:rsid w:val="006E77D5"/>
    <w:rsid w:val="006E7BAF"/>
    <w:rsid w:val="006E7C09"/>
    <w:rsid w:val="006E7CC5"/>
    <w:rsid w:val="006E7CEA"/>
    <w:rsid w:val="006E7D04"/>
    <w:rsid w:val="006F0020"/>
    <w:rsid w:val="006F0588"/>
    <w:rsid w:val="006F07D6"/>
    <w:rsid w:val="006F0BC5"/>
    <w:rsid w:val="006F0DDE"/>
    <w:rsid w:val="006F0DE6"/>
    <w:rsid w:val="006F0FDE"/>
    <w:rsid w:val="006F12EF"/>
    <w:rsid w:val="006F13F0"/>
    <w:rsid w:val="006F1B8D"/>
    <w:rsid w:val="006F20E2"/>
    <w:rsid w:val="006F23E7"/>
    <w:rsid w:val="006F23E9"/>
    <w:rsid w:val="006F2521"/>
    <w:rsid w:val="006F261C"/>
    <w:rsid w:val="006F2DF0"/>
    <w:rsid w:val="006F358C"/>
    <w:rsid w:val="006F35C4"/>
    <w:rsid w:val="006F35CB"/>
    <w:rsid w:val="006F38A2"/>
    <w:rsid w:val="006F3D73"/>
    <w:rsid w:val="006F3E6D"/>
    <w:rsid w:val="006F3EE5"/>
    <w:rsid w:val="006F4421"/>
    <w:rsid w:val="006F45AA"/>
    <w:rsid w:val="006F46D5"/>
    <w:rsid w:val="006F46DF"/>
    <w:rsid w:val="006F48E7"/>
    <w:rsid w:val="006F4B37"/>
    <w:rsid w:val="006F4B65"/>
    <w:rsid w:val="006F535C"/>
    <w:rsid w:val="006F5521"/>
    <w:rsid w:val="006F5AA6"/>
    <w:rsid w:val="006F5EA1"/>
    <w:rsid w:val="006F5EB4"/>
    <w:rsid w:val="006F5FA5"/>
    <w:rsid w:val="006F6674"/>
    <w:rsid w:val="006F6878"/>
    <w:rsid w:val="006F6BF5"/>
    <w:rsid w:val="006F6C6F"/>
    <w:rsid w:val="006F6DEA"/>
    <w:rsid w:val="006F7243"/>
    <w:rsid w:val="006F7503"/>
    <w:rsid w:val="006F75FB"/>
    <w:rsid w:val="006F7962"/>
    <w:rsid w:val="006F7AA2"/>
    <w:rsid w:val="006F7ABD"/>
    <w:rsid w:val="006F7B1F"/>
    <w:rsid w:val="006F7D7F"/>
    <w:rsid w:val="0070050C"/>
    <w:rsid w:val="007006B2"/>
    <w:rsid w:val="00700B6A"/>
    <w:rsid w:val="00700CB3"/>
    <w:rsid w:val="00700FAC"/>
    <w:rsid w:val="0070127E"/>
    <w:rsid w:val="00701428"/>
    <w:rsid w:val="0070171B"/>
    <w:rsid w:val="00701DF0"/>
    <w:rsid w:val="00701E97"/>
    <w:rsid w:val="00702AAE"/>
    <w:rsid w:val="00702D80"/>
    <w:rsid w:val="00703017"/>
    <w:rsid w:val="00703050"/>
    <w:rsid w:val="007032A6"/>
    <w:rsid w:val="007033F2"/>
    <w:rsid w:val="007036D9"/>
    <w:rsid w:val="00703811"/>
    <w:rsid w:val="00703D13"/>
    <w:rsid w:val="00703F2C"/>
    <w:rsid w:val="0070410F"/>
    <w:rsid w:val="007041FE"/>
    <w:rsid w:val="00704875"/>
    <w:rsid w:val="007049BE"/>
    <w:rsid w:val="00704A08"/>
    <w:rsid w:val="00704D5C"/>
    <w:rsid w:val="00704FBC"/>
    <w:rsid w:val="00705077"/>
    <w:rsid w:val="007054CC"/>
    <w:rsid w:val="007054F2"/>
    <w:rsid w:val="0070567D"/>
    <w:rsid w:val="007058E8"/>
    <w:rsid w:val="00705AE4"/>
    <w:rsid w:val="00705C11"/>
    <w:rsid w:val="00705D70"/>
    <w:rsid w:val="0070615A"/>
    <w:rsid w:val="00706203"/>
    <w:rsid w:val="00706272"/>
    <w:rsid w:val="007064C2"/>
    <w:rsid w:val="007066C3"/>
    <w:rsid w:val="007067B3"/>
    <w:rsid w:val="007071C8"/>
    <w:rsid w:val="00707390"/>
    <w:rsid w:val="007078ED"/>
    <w:rsid w:val="00707947"/>
    <w:rsid w:val="00707CD5"/>
    <w:rsid w:val="00707EA5"/>
    <w:rsid w:val="00707FB3"/>
    <w:rsid w:val="00710176"/>
    <w:rsid w:val="007107C2"/>
    <w:rsid w:val="007108E1"/>
    <w:rsid w:val="00710989"/>
    <w:rsid w:val="00710ADA"/>
    <w:rsid w:val="00710CFE"/>
    <w:rsid w:val="00710D66"/>
    <w:rsid w:val="00711472"/>
    <w:rsid w:val="007114AA"/>
    <w:rsid w:val="007118C0"/>
    <w:rsid w:val="00711A96"/>
    <w:rsid w:val="00712205"/>
    <w:rsid w:val="0071258A"/>
    <w:rsid w:val="0071290E"/>
    <w:rsid w:val="00712937"/>
    <w:rsid w:val="007129BA"/>
    <w:rsid w:val="00712ADD"/>
    <w:rsid w:val="00712E77"/>
    <w:rsid w:val="00712F36"/>
    <w:rsid w:val="007132F3"/>
    <w:rsid w:val="00713642"/>
    <w:rsid w:val="00713895"/>
    <w:rsid w:val="00713AA9"/>
    <w:rsid w:val="00713D79"/>
    <w:rsid w:val="0071420A"/>
    <w:rsid w:val="00714213"/>
    <w:rsid w:val="00715082"/>
    <w:rsid w:val="007155F8"/>
    <w:rsid w:val="00715C0B"/>
    <w:rsid w:val="00715D4A"/>
    <w:rsid w:val="0071663C"/>
    <w:rsid w:val="00716780"/>
    <w:rsid w:val="007167E0"/>
    <w:rsid w:val="0071697E"/>
    <w:rsid w:val="00717513"/>
    <w:rsid w:val="00717802"/>
    <w:rsid w:val="007178DC"/>
    <w:rsid w:val="00717BD9"/>
    <w:rsid w:val="00720421"/>
    <w:rsid w:val="00720D67"/>
    <w:rsid w:val="00720FF6"/>
    <w:rsid w:val="00721224"/>
    <w:rsid w:val="007214C4"/>
    <w:rsid w:val="007216BB"/>
    <w:rsid w:val="00721843"/>
    <w:rsid w:val="0072202A"/>
    <w:rsid w:val="007228F3"/>
    <w:rsid w:val="00722C01"/>
    <w:rsid w:val="007235DD"/>
    <w:rsid w:val="007239B4"/>
    <w:rsid w:val="007239B6"/>
    <w:rsid w:val="0072428F"/>
    <w:rsid w:val="0072431D"/>
    <w:rsid w:val="007245E0"/>
    <w:rsid w:val="00724810"/>
    <w:rsid w:val="00724828"/>
    <w:rsid w:val="007248EA"/>
    <w:rsid w:val="00724F4C"/>
    <w:rsid w:val="00725346"/>
    <w:rsid w:val="007253A0"/>
    <w:rsid w:val="007253EE"/>
    <w:rsid w:val="00725482"/>
    <w:rsid w:val="007254D0"/>
    <w:rsid w:val="007256CD"/>
    <w:rsid w:val="00725734"/>
    <w:rsid w:val="00725A39"/>
    <w:rsid w:val="00725C66"/>
    <w:rsid w:val="00726339"/>
    <w:rsid w:val="0072660E"/>
    <w:rsid w:val="0072672D"/>
    <w:rsid w:val="007274B9"/>
    <w:rsid w:val="007275DD"/>
    <w:rsid w:val="007277DB"/>
    <w:rsid w:val="007278FD"/>
    <w:rsid w:val="007279D0"/>
    <w:rsid w:val="007279DC"/>
    <w:rsid w:val="00727F50"/>
    <w:rsid w:val="007302CB"/>
    <w:rsid w:val="00730D57"/>
    <w:rsid w:val="00730DA0"/>
    <w:rsid w:val="00731155"/>
    <w:rsid w:val="00731755"/>
    <w:rsid w:val="00731AE3"/>
    <w:rsid w:val="00731ED6"/>
    <w:rsid w:val="007328F9"/>
    <w:rsid w:val="00732985"/>
    <w:rsid w:val="0073298A"/>
    <w:rsid w:val="00732A6F"/>
    <w:rsid w:val="00732AEC"/>
    <w:rsid w:val="00732BB6"/>
    <w:rsid w:val="00732E22"/>
    <w:rsid w:val="00732EB8"/>
    <w:rsid w:val="00732F0F"/>
    <w:rsid w:val="00732FCB"/>
    <w:rsid w:val="00733034"/>
    <w:rsid w:val="00733B4F"/>
    <w:rsid w:val="0073472D"/>
    <w:rsid w:val="00734AB0"/>
    <w:rsid w:val="00734E4E"/>
    <w:rsid w:val="00734F67"/>
    <w:rsid w:val="00735081"/>
    <w:rsid w:val="007351F2"/>
    <w:rsid w:val="0073560E"/>
    <w:rsid w:val="00735885"/>
    <w:rsid w:val="00735FE3"/>
    <w:rsid w:val="007361C8"/>
    <w:rsid w:val="00736533"/>
    <w:rsid w:val="00736821"/>
    <w:rsid w:val="00736CD6"/>
    <w:rsid w:val="00737078"/>
    <w:rsid w:val="0073732E"/>
    <w:rsid w:val="0073756E"/>
    <w:rsid w:val="00737765"/>
    <w:rsid w:val="0073796D"/>
    <w:rsid w:val="00737A53"/>
    <w:rsid w:val="00737B16"/>
    <w:rsid w:val="00737B46"/>
    <w:rsid w:val="00737BB6"/>
    <w:rsid w:val="00737F70"/>
    <w:rsid w:val="007408B9"/>
    <w:rsid w:val="00740A12"/>
    <w:rsid w:val="00740D48"/>
    <w:rsid w:val="0074106B"/>
    <w:rsid w:val="0074121F"/>
    <w:rsid w:val="00741415"/>
    <w:rsid w:val="0074170D"/>
    <w:rsid w:val="0074197C"/>
    <w:rsid w:val="00741C0B"/>
    <w:rsid w:val="00741DEC"/>
    <w:rsid w:val="007424A3"/>
    <w:rsid w:val="00742578"/>
    <w:rsid w:val="00742B13"/>
    <w:rsid w:val="00742C70"/>
    <w:rsid w:val="00742E63"/>
    <w:rsid w:val="00743A92"/>
    <w:rsid w:val="00743C0A"/>
    <w:rsid w:val="00743C23"/>
    <w:rsid w:val="00743C4E"/>
    <w:rsid w:val="00743CE8"/>
    <w:rsid w:val="00744B34"/>
    <w:rsid w:val="00744DA2"/>
    <w:rsid w:val="00745048"/>
    <w:rsid w:val="00745262"/>
    <w:rsid w:val="0074598A"/>
    <w:rsid w:val="00745F6E"/>
    <w:rsid w:val="00746C2C"/>
    <w:rsid w:val="00746CAC"/>
    <w:rsid w:val="00747033"/>
    <w:rsid w:val="00747130"/>
    <w:rsid w:val="0074713E"/>
    <w:rsid w:val="007471C0"/>
    <w:rsid w:val="007474F1"/>
    <w:rsid w:val="00747641"/>
    <w:rsid w:val="0074795A"/>
    <w:rsid w:val="00747AB9"/>
    <w:rsid w:val="00747F67"/>
    <w:rsid w:val="00750155"/>
    <w:rsid w:val="0075037E"/>
    <w:rsid w:val="00750AED"/>
    <w:rsid w:val="00751220"/>
    <w:rsid w:val="007513B5"/>
    <w:rsid w:val="0075170D"/>
    <w:rsid w:val="00751BAB"/>
    <w:rsid w:val="00751E2F"/>
    <w:rsid w:val="00751F41"/>
    <w:rsid w:val="00752137"/>
    <w:rsid w:val="00752376"/>
    <w:rsid w:val="00752852"/>
    <w:rsid w:val="00752ACD"/>
    <w:rsid w:val="00753312"/>
    <w:rsid w:val="00753757"/>
    <w:rsid w:val="007543A4"/>
    <w:rsid w:val="007547FE"/>
    <w:rsid w:val="007548BA"/>
    <w:rsid w:val="00755067"/>
    <w:rsid w:val="0075521B"/>
    <w:rsid w:val="00755322"/>
    <w:rsid w:val="00755614"/>
    <w:rsid w:val="00755F01"/>
    <w:rsid w:val="00756065"/>
    <w:rsid w:val="0075616F"/>
    <w:rsid w:val="00756212"/>
    <w:rsid w:val="007563EE"/>
    <w:rsid w:val="00756874"/>
    <w:rsid w:val="00757331"/>
    <w:rsid w:val="0075735D"/>
    <w:rsid w:val="0075750A"/>
    <w:rsid w:val="00757578"/>
    <w:rsid w:val="00757901"/>
    <w:rsid w:val="00760224"/>
    <w:rsid w:val="0076123D"/>
    <w:rsid w:val="007619A8"/>
    <w:rsid w:val="00762005"/>
    <w:rsid w:val="00762131"/>
    <w:rsid w:val="00762208"/>
    <w:rsid w:val="0076236D"/>
    <w:rsid w:val="0076246C"/>
    <w:rsid w:val="00762931"/>
    <w:rsid w:val="00762B6E"/>
    <w:rsid w:val="00762E79"/>
    <w:rsid w:val="007634A7"/>
    <w:rsid w:val="00763677"/>
    <w:rsid w:val="007638C6"/>
    <w:rsid w:val="007638ED"/>
    <w:rsid w:val="00763F16"/>
    <w:rsid w:val="0076480E"/>
    <w:rsid w:val="00764B54"/>
    <w:rsid w:val="00764C8B"/>
    <w:rsid w:val="00764FF1"/>
    <w:rsid w:val="007650AE"/>
    <w:rsid w:val="0076514C"/>
    <w:rsid w:val="00765640"/>
    <w:rsid w:val="00765AEC"/>
    <w:rsid w:val="0076610E"/>
    <w:rsid w:val="00766218"/>
    <w:rsid w:val="00766915"/>
    <w:rsid w:val="00766C29"/>
    <w:rsid w:val="00766EE3"/>
    <w:rsid w:val="007670DE"/>
    <w:rsid w:val="0076717F"/>
    <w:rsid w:val="0076798C"/>
    <w:rsid w:val="00767B71"/>
    <w:rsid w:val="00767D91"/>
    <w:rsid w:val="00767DD1"/>
    <w:rsid w:val="00767FBE"/>
    <w:rsid w:val="00770089"/>
    <w:rsid w:val="00770491"/>
    <w:rsid w:val="007708C7"/>
    <w:rsid w:val="00770F98"/>
    <w:rsid w:val="0077112E"/>
    <w:rsid w:val="00771173"/>
    <w:rsid w:val="007714AE"/>
    <w:rsid w:val="007716EE"/>
    <w:rsid w:val="00771D3B"/>
    <w:rsid w:val="00771E8C"/>
    <w:rsid w:val="00772852"/>
    <w:rsid w:val="0077288F"/>
    <w:rsid w:val="00772AE4"/>
    <w:rsid w:val="00772B0A"/>
    <w:rsid w:val="00772B1E"/>
    <w:rsid w:val="00772B5F"/>
    <w:rsid w:val="007734CE"/>
    <w:rsid w:val="0077352A"/>
    <w:rsid w:val="0077358D"/>
    <w:rsid w:val="0077359F"/>
    <w:rsid w:val="00773622"/>
    <w:rsid w:val="007737B3"/>
    <w:rsid w:val="00773A93"/>
    <w:rsid w:val="00773DCB"/>
    <w:rsid w:val="00773E36"/>
    <w:rsid w:val="0077405F"/>
    <w:rsid w:val="00774191"/>
    <w:rsid w:val="00774367"/>
    <w:rsid w:val="00774386"/>
    <w:rsid w:val="00774592"/>
    <w:rsid w:val="007748A5"/>
    <w:rsid w:val="007748B6"/>
    <w:rsid w:val="00774C6B"/>
    <w:rsid w:val="00774D6E"/>
    <w:rsid w:val="00774DD1"/>
    <w:rsid w:val="00774F0E"/>
    <w:rsid w:val="007755E7"/>
    <w:rsid w:val="00775A90"/>
    <w:rsid w:val="00775ED5"/>
    <w:rsid w:val="007762DC"/>
    <w:rsid w:val="0077660F"/>
    <w:rsid w:val="00776A2C"/>
    <w:rsid w:val="00776CBF"/>
    <w:rsid w:val="00776E2E"/>
    <w:rsid w:val="007771A1"/>
    <w:rsid w:val="007771C0"/>
    <w:rsid w:val="007774B2"/>
    <w:rsid w:val="007776FA"/>
    <w:rsid w:val="0077797E"/>
    <w:rsid w:val="00777F57"/>
    <w:rsid w:val="00780806"/>
    <w:rsid w:val="007808FB"/>
    <w:rsid w:val="00780AB4"/>
    <w:rsid w:val="00780F39"/>
    <w:rsid w:val="00780F83"/>
    <w:rsid w:val="00780F93"/>
    <w:rsid w:val="00781D50"/>
    <w:rsid w:val="0078228A"/>
    <w:rsid w:val="00782880"/>
    <w:rsid w:val="00782A1A"/>
    <w:rsid w:val="00782F74"/>
    <w:rsid w:val="007833B1"/>
    <w:rsid w:val="0078350B"/>
    <w:rsid w:val="00783B6B"/>
    <w:rsid w:val="00783FFA"/>
    <w:rsid w:val="0078415F"/>
    <w:rsid w:val="007847C7"/>
    <w:rsid w:val="00784830"/>
    <w:rsid w:val="00784D48"/>
    <w:rsid w:val="00784F15"/>
    <w:rsid w:val="007856AC"/>
    <w:rsid w:val="0078596A"/>
    <w:rsid w:val="00785E0C"/>
    <w:rsid w:val="00786108"/>
    <w:rsid w:val="00786BEF"/>
    <w:rsid w:val="00786D4E"/>
    <w:rsid w:val="00786F43"/>
    <w:rsid w:val="00787370"/>
    <w:rsid w:val="007874AE"/>
    <w:rsid w:val="007875CD"/>
    <w:rsid w:val="00787986"/>
    <w:rsid w:val="00787A01"/>
    <w:rsid w:val="00787F36"/>
    <w:rsid w:val="00787FB5"/>
    <w:rsid w:val="00790012"/>
    <w:rsid w:val="00790840"/>
    <w:rsid w:val="00790B65"/>
    <w:rsid w:val="00790EE3"/>
    <w:rsid w:val="007910B9"/>
    <w:rsid w:val="0079126D"/>
    <w:rsid w:val="00791283"/>
    <w:rsid w:val="0079148E"/>
    <w:rsid w:val="00791605"/>
    <w:rsid w:val="00791908"/>
    <w:rsid w:val="007920B2"/>
    <w:rsid w:val="00792288"/>
    <w:rsid w:val="0079273E"/>
    <w:rsid w:val="00792C2B"/>
    <w:rsid w:val="00792E99"/>
    <w:rsid w:val="00792F3C"/>
    <w:rsid w:val="00793025"/>
    <w:rsid w:val="007930EB"/>
    <w:rsid w:val="007934DC"/>
    <w:rsid w:val="007935FA"/>
    <w:rsid w:val="00793AE0"/>
    <w:rsid w:val="00793B1D"/>
    <w:rsid w:val="00793E60"/>
    <w:rsid w:val="00793FBA"/>
    <w:rsid w:val="00795324"/>
    <w:rsid w:val="007955E2"/>
    <w:rsid w:val="00795B62"/>
    <w:rsid w:val="00795E07"/>
    <w:rsid w:val="00796043"/>
    <w:rsid w:val="007962B2"/>
    <w:rsid w:val="00796477"/>
    <w:rsid w:val="00796C2E"/>
    <w:rsid w:val="00796C39"/>
    <w:rsid w:val="00796F19"/>
    <w:rsid w:val="00797043"/>
    <w:rsid w:val="007971B6"/>
    <w:rsid w:val="007975AB"/>
    <w:rsid w:val="0079787C"/>
    <w:rsid w:val="00797C3F"/>
    <w:rsid w:val="007A0E1B"/>
    <w:rsid w:val="007A15D7"/>
    <w:rsid w:val="007A19AE"/>
    <w:rsid w:val="007A1D9A"/>
    <w:rsid w:val="007A1E83"/>
    <w:rsid w:val="007A1EA8"/>
    <w:rsid w:val="007A1FD9"/>
    <w:rsid w:val="007A20E3"/>
    <w:rsid w:val="007A215B"/>
    <w:rsid w:val="007A2229"/>
    <w:rsid w:val="007A2415"/>
    <w:rsid w:val="007A246B"/>
    <w:rsid w:val="007A2986"/>
    <w:rsid w:val="007A2A13"/>
    <w:rsid w:val="007A3464"/>
    <w:rsid w:val="007A35B1"/>
    <w:rsid w:val="007A3632"/>
    <w:rsid w:val="007A37C0"/>
    <w:rsid w:val="007A3A59"/>
    <w:rsid w:val="007A3D82"/>
    <w:rsid w:val="007A3DBA"/>
    <w:rsid w:val="007A40D3"/>
    <w:rsid w:val="007A427E"/>
    <w:rsid w:val="007A441E"/>
    <w:rsid w:val="007A45FE"/>
    <w:rsid w:val="007A4B28"/>
    <w:rsid w:val="007A4F1A"/>
    <w:rsid w:val="007A510B"/>
    <w:rsid w:val="007A54E8"/>
    <w:rsid w:val="007A57B1"/>
    <w:rsid w:val="007A57D3"/>
    <w:rsid w:val="007A5836"/>
    <w:rsid w:val="007A5BA2"/>
    <w:rsid w:val="007A6044"/>
    <w:rsid w:val="007A62AD"/>
    <w:rsid w:val="007A64E3"/>
    <w:rsid w:val="007A6529"/>
    <w:rsid w:val="007A6617"/>
    <w:rsid w:val="007A671E"/>
    <w:rsid w:val="007A699D"/>
    <w:rsid w:val="007A6D2C"/>
    <w:rsid w:val="007A7037"/>
    <w:rsid w:val="007A74C2"/>
    <w:rsid w:val="007A7766"/>
    <w:rsid w:val="007A7812"/>
    <w:rsid w:val="007A7928"/>
    <w:rsid w:val="007A7A36"/>
    <w:rsid w:val="007A7C08"/>
    <w:rsid w:val="007A7DF4"/>
    <w:rsid w:val="007A7EEF"/>
    <w:rsid w:val="007A7F18"/>
    <w:rsid w:val="007B004E"/>
    <w:rsid w:val="007B008B"/>
    <w:rsid w:val="007B00C1"/>
    <w:rsid w:val="007B00ED"/>
    <w:rsid w:val="007B0113"/>
    <w:rsid w:val="007B02EE"/>
    <w:rsid w:val="007B078D"/>
    <w:rsid w:val="007B09C4"/>
    <w:rsid w:val="007B0F88"/>
    <w:rsid w:val="007B11DD"/>
    <w:rsid w:val="007B14B0"/>
    <w:rsid w:val="007B190F"/>
    <w:rsid w:val="007B1E83"/>
    <w:rsid w:val="007B1FED"/>
    <w:rsid w:val="007B21BD"/>
    <w:rsid w:val="007B24F4"/>
    <w:rsid w:val="007B2623"/>
    <w:rsid w:val="007B2F66"/>
    <w:rsid w:val="007B3386"/>
    <w:rsid w:val="007B33FD"/>
    <w:rsid w:val="007B3675"/>
    <w:rsid w:val="007B41A1"/>
    <w:rsid w:val="007B420C"/>
    <w:rsid w:val="007B4373"/>
    <w:rsid w:val="007B4586"/>
    <w:rsid w:val="007B479D"/>
    <w:rsid w:val="007B47EC"/>
    <w:rsid w:val="007B47FE"/>
    <w:rsid w:val="007B4AAF"/>
    <w:rsid w:val="007B4F14"/>
    <w:rsid w:val="007B5DD4"/>
    <w:rsid w:val="007B64A4"/>
    <w:rsid w:val="007B64B4"/>
    <w:rsid w:val="007B6535"/>
    <w:rsid w:val="007B6944"/>
    <w:rsid w:val="007B738E"/>
    <w:rsid w:val="007B762E"/>
    <w:rsid w:val="007B76DB"/>
    <w:rsid w:val="007B7841"/>
    <w:rsid w:val="007B7A75"/>
    <w:rsid w:val="007C0460"/>
    <w:rsid w:val="007C05F6"/>
    <w:rsid w:val="007C086F"/>
    <w:rsid w:val="007C1828"/>
    <w:rsid w:val="007C1896"/>
    <w:rsid w:val="007C1B19"/>
    <w:rsid w:val="007C1EAA"/>
    <w:rsid w:val="007C21DC"/>
    <w:rsid w:val="007C264C"/>
    <w:rsid w:val="007C2672"/>
    <w:rsid w:val="007C27A5"/>
    <w:rsid w:val="007C3599"/>
    <w:rsid w:val="007C3998"/>
    <w:rsid w:val="007C3CFD"/>
    <w:rsid w:val="007C3E72"/>
    <w:rsid w:val="007C3EAC"/>
    <w:rsid w:val="007C3F24"/>
    <w:rsid w:val="007C3FC7"/>
    <w:rsid w:val="007C414E"/>
    <w:rsid w:val="007C459C"/>
    <w:rsid w:val="007C4619"/>
    <w:rsid w:val="007C4827"/>
    <w:rsid w:val="007C4D6F"/>
    <w:rsid w:val="007C4EEC"/>
    <w:rsid w:val="007C4F54"/>
    <w:rsid w:val="007C4FE1"/>
    <w:rsid w:val="007C57EA"/>
    <w:rsid w:val="007C581B"/>
    <w:rsid w:val="007C58A3"/>
    <w:rsid w:val="007C5A7C"/>
    <w:rsid w:val="007C5C86"/>
    <w:rsid w:val="007C5CA4"/>
    <w:rsid w:val="007C6212"/>
    <w:rsid w:val="007C62D6"/>
    <w:rsid w:val="007C63AB"/>
    <w:rsid w:val="007C6D68"/>
    <w:rsid w:val="007C6DAA"/>
    <w:rsid w:val="007C7228"/>
    <w:rsid w:val="007C7791"/>
    <w:rsid w:val="007C7EF8"/>
    <w:rsid w:val="007D0116"/>
    <w:rsid w:val="007D0903"/>
    <w:rsid w:val="007D0AB9"/>
    <w:rsid w:val="007D0C50"/>
    <w:rsid w:val="007D0E62"/>
    <w:rsid w:val="007D1478"/>
    <w:rsid w:val="007D1574"/>
    <w:rsid w:val="007D17D4"/>
    <w:rsid w:val="007D18FE"/>
    <w:rsid w:val="007D197D"/>
    <w:rsid w:val="007D1A2B"/>
    <w:rsid w:val="007D1CB0"/>
    <w:rsid w:val="007D1DCF"/>
    <w:rsid w:val="007D1ED2"/>
    <w:rsid w:val="007D1F7C"/>
    <w:rsid w:val="007D20BD"/>
    <w:rsid w:val="007D2372"/>
    <w:rsid w:val="007D23A9"/>
    <w:rsid w:val="007D2508"/>
    <w:rsid w:val="007D25F7"/>
    <w:rsid w:val="007D26DA"/>
    <w:rsid w:val="007D2939"/>
    <w:rsid w:val="007D29A9"/>
    <w:rsid w:val="007D2C6D"/>
    <w:rsid w:val="007D2D05"/>
    <w:rsid w:val="007D2D35"/>
    <w:rsid w:val="007D2E2A"/>
    <w:rsid w:val="007D2EE5"/>
    <w:rsid w:val="007D31FF"/>
    <w:rsid w:val="007D32D3"/>
    <w:rsid w:val="007D338E"/>
    <w:rsid w:val="007D3459"/>
    <w:rsid w:val="007D3709"/>
    <w:rsid w:val="007D3A8A"/>
    <w:rsid w:val="007D3AF5"/>
    <w:rsid w:val="007D3BC6"/>
    <w:rsid w:val="007D4374"/>
    <w:rsid w:val="007D449E"/>
    <w:rsid w:val="007D467D"/>
    <w:rsid w:val="007D4D7B"/>
    <w:rsid w:val="007D51C0"/>
    <w:rsid w:val="007D5306"/>
    <w:rsid w:val="007D5406"/>
    <w:rsid w:val="007D55F7"/>
    <w:rsid w:val="007D5EC7"/>
    <w:rsid w:val="007D63C4"/>
    <w:rsid w:val="007D6891"/>
    <w:rsid w:val="007D6CEE"/>
    <w:rsid w:val="007D736C"/>
    <w:rsid w:val="007D75A4"/>
    <w:rsid w:val="007D772D"/>
    <w:rsid w:val="007D79B9"/>
    <w:rsid w:val="007D7D82"/>
    <w:rsid w:val="007E0494"/>
    <w:rsid w:val="007E05A6"/>
    <w:rsid w:val="007E0908"/>
    <w:rsid w:val="007E0D3E"/>
    <w:rsid w:val="007E1A21"/>
    <w:rsid w:val="007E1A9D"/>
    <w:rsid w:val="007E1C40"/>
    <w:rsid w:val="007E1F12"/>
    <w:rsid w:val="007E20AE"/>
    <w:rsid w:val="007E22E2"/>
    <w:rsid w:val="007E246B"/>
    <w:rsid w:val="007E25CB"/>
    <w:rsid w:val="007E2739"/>
    <w:rsid w:val="007E2AC2"/>
    <w:rsid w:val="007E2F1B"/>
    <w:rsid w:val="007E3325"/>
    <w:rsid w:val="007E374F"/>
    <w:rsid w:val="007E396A"/>
    <w:rsid w:val="007E3ABB"/>
    <w:rsid w:val="007E3D35"/>
    <w:rsid w:val="007E425E"/>
    <w:rsid w:val="007E42CF"/>
    <w:rsid w:val="007E4373"/>
    <w:rsid w:val="007E466F"/>
    <w:rsid w:val="007E46F6"/>
    <w:rsid w:val="007E48D5"/>
    <w:rsid w:val="007E4D78"/>
    <w:rsid w:val="007E5082"/>
    <w:rsid w:val="007E5187"/>
    <w:rsid w:val="007E51A2"/>
    <w:rsid w:val="007E5283"/>
    <w:rsid w:val="007E5295"/>
    <w:rsid w:val="007E555B"/>
    <w:rsid w:val="007E5BC2"/>
    <w:rsid w:val="007E5E83"/>
    <w:rsid w:val="007E5F9C"/>
    <w:rsid w:val="007E694E"/>
    <w:rsid w:val="007E6A83"/>
    <w:rsid w:val="007E6B2F"/>
    <w:rsid w:val="007E6D74"/>
    <w:rsid w:val="007E7051"/>
    <w:rsid w:val="007E7B89"/>
    <w:rsid w:val="007F0208"/>
    <w:rsid w:val="007F0C90"/>
    <w:rsid w:val="007F0D62"/>
    <w:rsid w:val="007F0FB4"/>
    <w:rsid w:val="007F11B6"/>
    <w:rsid w:val="007F16E3"/>
    <w:rsid w:val="007F1A93"/>
    <w:rsid w:val="007F1D51"/>
    <w:rsid w:val="007F1F12"/>
    <w:rsid w:val="007F2223"/>
    <w:rsid w:val="007F297B"/>
    <w:rsid w:val="007F298E"/>
    <w:rsid w:val="007F2BF4"/>
    <w:rsid w:val="007F3250"/>
    <w:rsid w:val="007F3297"/>
    <w:rsid w:val="007F422A"/>
    <w:rsid w:val="007F45BF"/>
    <w:rsid w:val="007F4B3A"/>
    <w:rsid w:val="007F4B4B"/>
    <w:rsid w:val="007F4BA3"/>
    <w:rsid w:val="007F4D19"/>
    <w:rsid w:val="007F4F10"/>
    <w:rsid w:val="007F512A"/>
    <w:rsid w:val="007F5215"/>
    <w:rsid w:val="007F5427"/>
    <w:rsid w:val="007F56DF"/>
    <w:rsid w:val="007F588C"/>
    <w:rsid w:val="007F58EC"/>
    <w:rsid w:val="007F59BD"/>
    <w:rsid w:val="007F5ADB"/>
    <w:rsid w:val="007F65EF"/>
    <w:rsid w:val="007F665E"/>
    <w:rsid w:val="007F67B9"/>
    <w:rsid w:val="007F6A64"/>
    <w:rsid w:val="007F710C"/>
    <w:rsid w:val="007F726D"/>
    <w:rsid w:val="007F7B74"/>
    <w:rsid w:val="0080014A"/>
    <w:rsid w:val="0080016D"/>
    <w:rsid w:val="0080024E"/>
    <w:rsid w:val="008003CC"/>
    <w:rsid w:val="00800959"/>
    <w:rsid w:val="00800AF0"/>
    <w:rsid w:val="00800B02"/>
    <w:rsid w:val="00800CBA"/>
    <w:rsid w:val="00800CDD"/>
    <w:rsid w:val="008011EC"/>
    <w:rsid w:val="0080128F"/>
    <w:rsid w:val="00801DAA"/>
    <w:rsid w:val="00802187"/>
    <w:rsid w:val="008021C4"/>
    <w:rsid w:val="00802269"/>
    <w:rsid w:val="0080258D"/>
    <w:rsid w:val="0080271D"/>
    <w:rsid w:val="0080274F"/>
    <w:rsid w:val="0080275F"/>
    <w:rsid w:val="00802FE7"/>
    <w:rsid w:val="008031D9"/>
    <w:rsid w:val="008034F3"/>
    <w:rsid w:val="0080373B"/>
    <w:rsid w:val="008038B5"/>
    <w:rsid w:val="00803920"/>
    <w:rsid w:val="00804045"/>
    <w:rsid w:val="00804BED"/>
    <w:rsid w:val="00804E34"/>
    <w:rsid w:val="00804EFC"/>
    <w:rsid w:val="00805093"/>
    <w:rsid w:val="008051B0"/>
    <w:rsid w:val="00805571"/>
    <w:rsid w:val="008057BD"/>
    <w:rsid w:val="00805838"/>
    <w:rsid w:val="00805AF2"/>
    <w:rsid w:val="00805BEB"/>
    <w:rsid w:val="00805F94"/>
    <w:rsid w:val="00806142"/>
    <w:rsid w:val="0080635F"/>
    <w:rsid w:val="008064BC"/>
    <w:rsid w:val="0080668F"/>
    <w:rsid w:val="0080684F"/>
    <w:rsid w:val="00806D36"/>
    <w:rsid w:val="0080705E"/>
    <w:rsid w:val="008074BE"/>
    <w:rsid w:val="00807588"/>
    <w:rsid w:val="00807623"/>
    <w:rsid w:val="00807B17"/>
    <w:rsid w:val="00807D09"/>
    <w:rsid w:val="008102DD"/>
    <w:rsid w:val="008104CB"/>
    <w:rsid w:val="00810626"/>
    <w:rsid w:val="0081138D"/>
    <w:rsid w:val="0081152B"/>
    <w:rsid w:val="00811A69"/>
    <w:rsid w:val="00811FD7"/>
    <w:rsid w:val="00812403"/>
    <w:rsid w:val="00812B16"/>
    <w:rsid w:val="00812EBF"/>
    <w:rsid w:val="00813046"/>
    <w:rsid w:val="008130EC"/>
    <w:rsid w:val="00813B5C"/>
    <w:rsid w:val="00813D07"/>
    <w:rsid w:val="00813DF1"/>
    <w:rsid w:val="00814026"/>
    <w:rsid w:val="008141EC"/>
    <w:rsid w:val="0081427B"/>
    <w:rsid w:val="008143A0"/>
    <w:rsid w:val="00814421"/>
    <w:rsid w:val="0081498D"/>
    <w:rsid w:val="0081499D"/>
    <w:rsid w:val="008149DB"/>
    <w:rsid w:val="00814B4A"/>
    <w:rsid w:val="00815008"/>
    <w:rsid w:val="0081501D"/>
    <w:rsid w:val="00815071"/>
    <w:rsid w:val="0081589F"/>
    <w:rsid w:val="00815A80"/>
    <w:rsid w:val="00815C3B"/>
    <w:rsid w:val="00815D00"/>
    <w:rsid w:val="008160AD"/>
    <w:rsid w:val="008164D3"/>
    <w:rsid w:val="008165B2"/>
    <w:rsid w:val="00816A41"/>
    <w:rsid w:val="00817152"/>
    <w:rsid w:val="008174BE"/>
    <w:rsid w:val="0081770C"/>
    <w:rsid w:val="008177E4"/>
    <w:rsid w:val="008178F1"/>
    <w:rsid w:val="00820603"/>
    <w:rsid w:val="00820670"/>
    <w:rsid w:val="0082084B"/>
    <w:rsid w:val="00820A05"/>
    <w:rsid w:val="00820AF4"/>
    <w:rsid w:val="00820B5D"/>
    <w:rsid w:val="00820F71"/>
    <w:rsid w:val="00820FE9"/>
    <w:rsid w:val="00821387"/>
    <w:rsid w:val="00821437"/>
    <w:rsid w:val="008215AD"/>
    <w:rsid w:val="00821861"/>
    <w:rsid w:val="00821981"/>
    <w:rsid w:val="00821A24"/>
    <w:rsid w:val="00821AA1"/>
    <w:rsid w:val="00821AFA"/>
    <w:rsid w:val="00821B06"/>
    <w:rsid w:val="00821E23"/>
    <w:rsid w:val="00821F2E"/>
    <w:rsid w:val="0082272A"/>
    <w:rsid w:val="0082276A"/>
    <w:rsid w:val="00822A93"/>
    <w:rsid w:val="00822D2A"/>
    <w:rsid w:val="00822E14"/>
    <w:rsid w:val="00823051"/>
    <w:rsid w:val="00823471"/>
    <w:rsid w:val="008234D0"/>
    <w:rsid w:val="00823583"/>
    <w:rsid w:val="008235A8"/>
    <w:rsid w:val="008236BC"/>
    <w:rsid w:val="00823A8D"/>
    <w:rsid w:val="00823FF9"/>
    <w:rsid w:val="008240F2"/>
    <w:rsid w:val="00824155"/>
    <w:rsid w:val="008248FC"/>
    <w:rsid w:val="00824D48"/>
    <w:rsid w:val="00825478"/>
    <w:rsid w:val="00825871"/>
    <w:rsid w:val="00825935"/>
    <w:rsid w:val="00825997"/>
    <w:rsid w:val="00825C08"/>
    <w:rsid w:val="00825E4E"/>
    <w:rsid w:val="00825F7B"/>
    <w:rsid w:val="0082640B"/>
    <w:rsid w:val="00826431"/>
    <w:rsid w:val="0082684B"/>
    <w:rsid w:val="00826F5E"/>
    <w:rsid w:val="00826FA2"/>
    <w:rsid w:val="00827217"/>
    <w:rsid w:val="00827225"/>
    <w:rsid w:val="0082773E"/>
    <w:rsid w:val="008277D1"/>
    <w:rsid w:val="008278D5"/>
    <w:rsid w:val="00827FAD"/>
    <w:rsid w:val="00827FFA"/>
    <w:rsid w:val="00830557"/>
    <w:rsid w:val="008312D0"/>
    <w:rsid w:val="008312F5"/>
    <w:rsid w:val="0083132E"/>
    <w:rsid w:val="008314C5"/>
    <w:rsid w:val="00831751"/>
    <w:rsid w:val="00831803"/>
    <w:rsid w:val="00831C0D"/>
    <w:rsid w:val="00831ED2"/>
    <w:rsid w:val="0083202F"/>
    <w:rsid w:val="00832366"/>
    <w:rsid w:val="00832410"/>
    <w:rsid w:val="0083245A"/>
    <w:rsid w:val="00832650"/>
    <w:rsid w:val="008328E0"/>
    <w:rsid w:val="00832D2A"/>
    <w:rsid w:val="0083312B"/>
    <w:rsid w:val="00833278"/>
    <w:rsid w:val="0083328F"/>
    <w:rsid w:val="0083338B"/>
    <w:rsid w:val="0083353C"/>
    <w:rsid w:val="00833C7E"/>
    <w:rsid w:val="0083420E"/>
    <w:rsid w:val="00834217"/>
    <w:rsid w:val="008344DA"/>
    <w:rsid w:val="008348F4"/>
    <w:rsid w:val="00834A0A"/>
    <w:rsid w:val="00834C3F"/>
    <w:rsid w:val="00834C94"/>
    <w:rsid w:val="00834E3A"/>
    <w:rsid w:val="00834FEE"/>
    <w:rsid w:val="00835344"/>
    <w:rsid w:val="008353BB"/>
    <w:rsid w:val="00836069"/>
    <w:rsid w:val="008360CA"/>
    <w:rsid w:val="00836163"/>
    <w:rsid w:val="0083628A"/>
    <w:rsid w:val="00836414"/>
    <w:rsid w:val="00836947"/>
    <w:rsid w:val="0083694C"/>
    <w:rsid w:val="00836E09"/>
    <w:rsid w:val="008373ED"/>
    <w:rsid w:val="008375BC"/>
    <w:rsid w:val="008377A1"/>
    <w:rsid w:val="0083780F"/>
    <w:rsid w:val="0083790D"/>
    <w:rsid w:val="008379BD"/>
    <w:rsid w:val="00837F7D"/>
    <w:rsid w:val="0084020A"/>
    <w:rsid w:val="008402A9"/>
    <w:rsid w:val="008407B7"/>
    <w:rsid w:val="008409CF"/>
    <w:rsid w:val="008409F5"/>
    <w:rsid w:val="00840C2F"/>
    <w:rsid w:val="00840E2A"/>
    <w:rsid w:val="008411DB"/>
    <w:rsid w:val="008414AB"/>
    <w:rsid w:val="008415E2"/>
    <w:rsid w:val="008418DE"/>
    <w:rsid w:val="00841AE6"/>
    <w:rsid w:val="00841C3A"/>
    <w:rsid w:val="00841DA0"/>
    <w:rsid w:val="008420DB"/>
    <w:rsid w:val="008425AE"/>
    <w:rsid w:val="00842A53"/>
    <w:rsid w:val="00842E6A"/>
    <w:rsid w:val="00842ED7"/>
    <w:rsid w:val="0084301E"/>
    <w:rsid w:val="0084308C"/>
    <w:rsid w:val="00843137"/>
    <w:rsid w:val="00843231"/>
    <w:rsid w:val="008433BD"/>
    <w:rsid w:val="008434E7"/>
    <w:rsid w:val="0084352E"/>
    <w:rsid w:val="00843DAC"/>
    <w:rsid w:val="00843FF4"/>
    <w:rsid w:val="00844073"/>
    <w:rsid w:val="00844333"/>
    <w:rsid w:val="00844603"/>
    <w:rsid w:val="00844790"/>
    <w:rsid w:val="0084507A"/>
    <w:rsid w:val="008454CD"/>
    <w:rsid w:val="00845506"/>
    <w:rsid w:val="00845713"/>
    <w:rsid w:val="00845795"/>
    <w:rsid w:val="00845FAF"/>
    <w:rsid w:val="008465B4"/>
    <w:rsid w:val="008469D9"/>
    <w:rsid w:val="00846F24"/>
    <w:rsid w:val="0084759B"/>
    <w:rsid w:val="008479F5"/>
    <w:rsid w:val="00847C72"/>
    <w:rsid w:val="00847CBD"/>
    <w:rsid w:val="00847EE6"/>
    <w:rsid w:val="00850241"/>
    <w:rsid w:val="008502E0"/>
    <w:rsid w:val="008504A9"/>
    <w:rsid w:val="00850ACD"/>
    <w:rsid w:val="00850B83"/>
    <w:rsid w:val="00850C33"/>
    <w:rsid w:val="00851301"/>
    <w:rsid w:val="00851880"/>
    <w:rsid w:val="00851BA3"/>
    <w:rsid w:val="0085226F"/>
    <w:rsid w:val="00852A22"/>
    <w:rsid w:val="00852A84"/>
    <w:rsid w:val="00852E09"/>
    <w:rsid w:val="00852FEA"/>
    <w:rsid w:val="0085310D"/>
    <w:rsid w:val="008536AA"/>
    <w:rsid w:val="008539D3"/>
    <w:rsid w:val="00853A6E"/>
    <w:rsid w:val="008540ED"/>
    <w:rsid w:val="00854423"/>
    <w:rsid w:val="008549D5"/>
    <w:rsid w:val="00854B5C"/>
    <w:rsid w:val="00854F56"/>
    <w:rsid w:val="008550B1"/>
    <w:rsid w:val="008552CB"/>
    <w:rsid w:val="0085538F"/>
    <w:rsid w:val="008553A3"/>
    <w:rsid w:val="00855533"/>
    <w:rsid w:val="008557D0"/>
    <w:rsid w:val="00855C8A"/>
    <w:rsid w:val="00856CA0"/>
    <w:rsid w:val="008573D8"/>
    <w:rsid w:val="00857A9A"/>
    <w:rsid w:val="00857C80"/>
    <w:rsid w:val="00857CA1"/>
    <w:rsid w:val="00857CAB"/>
    <w:rsid w:val="00857E34"/>
    <w:rsid w:val="008603EE"/>
    <w:rsid w:val="00860409"/>
    <w:rsid w:val="0086095B"/>
    <w:rsid w:val="00860AAA"/>
    <w:rsid w:val="00861196"/>
    <w:rsid w:val="008620AA"/>
    <w:rsid w:val="00862205"/>
    <w:rsid w:val="0086229A"/>
    <w:rsid w:val="00862406"/>
    <w:rsid w:val="00862699"/>
    <w:rsid w:val="008626A2"/>
    <w:rsid w:val="00862870"/>
    <w:rsid w:val="0086290B"/>
    <w:rsid w:val="008629FF"/>
    <w:rsid w:val="00862DE1"/>
    <w:rsid w:val="0086323D"/>
    <w:rsid w:val="00863566"/>
    <w:rsid w:val="008638EE"/>
    <w:rsid w:val="00863BD9"/>
    <w:rsid w:val="00863C72"/>
    <w:rsid w:val="00863E35"/>
    <w:rsid w:val="00863F49"/>
    <w:rsid w:val="00864229"/>
    <w:rsid w:val="008646A4"/>
    <w:rsid w:val="008646B3"/>
    <w:rsid w:val="00864A8D"/>
    <w:rsid w:val="00864C2C"/>
    <w:rsid w:val="00865678"/>
    <w:rsid w:val="00865DF3"/>
    <w:rsid w:val="008661CC"/>
    <w:rsid w:val="008665D5"/>
    <w:rsid w:val="00866728"/>
    <w:rsid w:val="00866A7F"/>
    <w:rsid w:val="00866C18"/>
    <w:rsid w:val="00866C88"/>
    <w:rsid w:val="00866F39"/>
    <w:rsid w:val="0086729A"/>
    <w:rsid w:val="0086732B"/>
    <w:rsid w:val="008676E6"/>
    <w:rsid w:val="0086786B"/>
    <w:rsid w:val="008678C2"/>
    <w:rsid w:val="00867A1F"/>
    <w:rsid w:val="00867BDD"/>
    <w:rsid w:val="008705C0"/>
    <w:rsid w:val="00870682"/>
    <w:rsid w:val="00870718"/>
    <w:rsid w:val="00870A5B"/>
    <w:rsid w:val="00870BFA"/>
    <w:rsid w:val="00870F08"/>
    <w:rsid w:val="00871092"/>
    <w:rsid w:val="0087151E"/>
    <w:rsid w:val="008715E4"/>
    <w:rsid w:val="00871E0D"/>
    <w:rsid w:val="00872397"/>
    <w:rsid w:val="00872419"/>
    <w:rsid w:val="00872B3E"/>
    <w:rsid w:val="00872D2D"/>
    <w:rsid w:val="00872DE2"/>
    <w:rsid w:val="0087324A"/>
    <w:rsid w:val="0087341F"/>
    <w:rsid w:val="0087345C"/>
    <w:rsid w:val="008735E2"/>
    <w:rsid w:val="008735F3"/>
    <w:rsid w:val="00873890"/>
    <w:rsid w:val="00873B95"/>
    <w:rsid w:val="008741CB"/>
    <w:rsid w:val="00874F8A"/>
    <w:rsid w:val="008751EB"/>
    <w:rsid w:val="008755A2"/>
    <w:rsid w:val="008756E2"/>
    <w:rsid w:val="0087574C"/>
    <w:rsid w:val="00875796"/>
    <w:rsid w:val="00875BC0"/>
    <w:rsid w:val="00875BEA"/>
    <w:rsid w:val="00875D4C"/>
    <w:rsid w:val="00876065"/>
    <w:rsid w:val="00876484"/>
    <w:rsid w:val="00876AEB"/>
    <w:rsid w:val="00876EEA"/>
    <w:rsid w:val="0087715D"/>
    <w:rsid w:val="008772D5"/>
    <w:rsid w:val="00877B2C"/>
    <w:rsid w:val="00880953"/>
    <w:rsid w:val="00880D4A"/>
    <w:rsid w:val="00880F65"/>
    <w:rsid w:val="008814E6"/>
    <w:rsid w:val="0088150F"/>
    <w:rsid w:val="008816D8"/>
    <w:rsid w:val="008816EA"/>
    <w:rsid w:val="00881861"/>
    <w:rsid w:val="00881AEE"/>
    <w:rsid w:val="00881C75"/>
    <w:rsid w:val="00882139"/>
    <w:rsid w:val="008824A3"/>
    <w:rsid w:val="00882932"/>
    <w:rsid w:val="00882E2F"/>
    <w:rsid w:val="00882F49"/>
    <w:rsid w:val="00882F55"/>
    <w:rsid w:val="00883000"/>
    <w:rsid w:val="00883055"/>
    <w:rsid w:val="00883062"/>
    <w:rsid w:val="00883508"/>
    <w:rsid w:val="00883626"/>
    <w:rsid w:val="0088363A"/>
    <w:rsid w:val="00883F2F"/>
    <w:rsid w:val="00884483"/>
    <w:rsid w:val="00884623"/>
    <w:rsid w:val="00884A0C"/>
    <w:rsid w:val="008855EE"/>
    <w:rsid w:val="008857EF"/>
    <w:rsid w:val="00885B48"/>
    <w:rsid w:val="00885B73"/>
    <w:rsid w:val="00885D10"/>
    <w:rsid w:val="00885D78"/>
    <w:rsid w:val="00885E21"/>
    <w:rsid w:val="008865BB"/>
    <w:rsid w:val="008866A1"/>
    <w:rsid w:val="00886EC8"/>
    <w:rsid w:val="0088738C"/>
    <w:rsid w:val="00887793"/>
    <w:rsid w:val="00887887"/>
    <w:rsid w:val="00887A52"/>
    <w:rsid w:val="00887AB5"/>
    <w:rsid w:val="00887BAD"/>
    <w:rsid w:val="00890294"/>
    <w:rsid w:val="00890515"/>
    <w:rsid w:val="00890829"/>
    <w:rsid w:val="0089090D"/>
    <w:rsid w:val="00890A7F"/>
    <w:rsid w:val="00890F48"/>
    <w:rsid w:val="0089118F"/>
    <w:rsid w:val="008913B6"/>
    <w:rsid w:val="0089156C"/>
    <w:rsid w:val="0089159B"/>
    <w:rsid w:val="00891667"/>
    <w:rsid w:val="008917C2"/>
    <w:rsid w:val="00891B96"/>
    <w:rsid w:val="00891C34"/>
    <w:rsid w:val="00891F40"/>
    <w:rsid w:val="008920F2"/>
    <w:rsid w:val="00892B93"/>
    <w:rsid w:val="00893100"/>
    <w:rsid w:val="008934D4"/>
    <w:rsid w:val="0089352A"/>
    <w:rsid w:val="00893AF8"/>
    <w:rsid w:val="00893C66"/>
    <w:rsid w:val="00893F88"/>
    <w:rsid w:val="0089484D"/>
    <w:rsid w:val="0089497D"/>
    <w:rsid w:val="00894A60"/>
    <w:rsid w:val="00894B82"/>
    <w:rsid w:val="00895EBA"/>
    <w:rsid w:val="008962AD"/>
    <w:rsid w:val="008964AD"/>
    <w:rsid w:val="008966AA"/>
    <w:rsid w:val="00896C17"/>
    <w:rsid w:val="00896E05"/>
    <w:rsid w:val="00896FE4"/>
    <w:rsid w:val="00897371"/>
    <w:rsid w:val="008974D7"/>
    <w:rsid w:val="00897559"/>
    <w:rsid w:val="008978DE"/>
    <w:rsid w:val="00897C4E"/>
    <w:rsid w:val="00897C76"/>
    <w:rsid w:val="00897E53"/>
    <w:rsid w:val="008A0294"/>
    <w:rsid w:val="008A06FA"/>
    <w:rsid w:val="008A075A"/>
    <w:rsid w:val="008A0B1F"/>
    <w:rsid w:val="008A0DFA"/>
    <w:rsid w:val="008A10C0"/>
    <w:rsid w:val="008A11A7"/>
    <w:rsid w:val="008A11F7"/>
    <w:rsid w:val="008A13AD"/>
    <w:rsid w:val="008A13EB"/>
    <w:rsid w:val="008A15B1"/>
    <w:rsid w:val="008A1B2C"/>
    <w:rsid w:val="008A1BEC"/>
    <w:rsid w:val="008A222E"/>
    <w:rsid w:val="008A25FB"/>
    <w:rsid w:val="008A2641"/>
    <w:rsid w:val="008A2A0A"/>
    <w:rsid w:val="008A2E62"/>
    <w:rsid w:val="008A2E78"/>
    <w:rsid w:val="008A3283"/>
    <w:rsid w:val="008A34A9"/>
    <w:rsid w:val="008A3697"/>
    <w:rsid w:val="008A3830"/>
    <w:rsid w:val="008A3D25"/>
    <w:rsid w:val="008A4018"/>
    <w:rsid w:val="008A41CC"/>
    <w:rsid w:val="008A4217"/>
    <w:rsid w:val="008A4433"/>
    <w:rsid w:val="008A4699"/>
    <w:rsid w:val="008A47FF"/>
    <w:rsid w:val="008A4F82"/>
    <w:rsid w:val="008A52BC"/>
    <w:rsid w:val="008A52FA"/>
    <w:rsid w:val="008A54CC"/>
    <w:rsid w:val="008A55F1"/>
    <w:rsid w:val="008A57D4"/>
    <w:rsid w:val="008A5C79"/>
    <w:rsid w:val="008A629B"/>
    <w:rsid w:val="008A6733"/>
    <w:rsid w:val="008A689B"/>
    <w:rsid w:val="008A6D8C"/>
    <w:rsid w:val="008A6DAA"/>
    <w:rsid w:val="008A6DFA"/>
    <w:rsid w:val="008A71AE"/>
    <w:rsid w:val="008A73F4"/>
    <w:rsid w:val="008A7756"/>
    <w:rsid w:val="008A789D"/>
    <w:rsid w:val="008A7C68"/>
    <w:rsid w:val="008A7DD8"/>
    <w:rsid w:val="008A7F40"/>
    <w:rsid w:val="008B00DE"/>
    <w:rsid w:val="008B00ED"/>
    <w:rsid w:val="008B027F"/>
    <w:rsid w:val="008B06ED"/>
    <w:rsid w:val="008B0CBF"/>
    <w:rsid w:val="008B0E64"/>
    <w:rsid w:val="008B1108"/>
    <w:rsid w:val="008B1731"/>
    <w:rsid w:val="008B1E2D"/>
    <w:rsid w:val="008B29C7"/>
    <w:rsid w:val="008B3407"/>
    <w:rsid w:val="008B3428"/>
    <w:rsid w:val="008B3C09"/>
    <w:rsid w:val="008B4132"/>
    <w:rsid w:val="008B4438"/>
    <w:rsid w:val="008B457E"/>
    <w:rsid w:val="008B478E"/>
    <w:rsid w:val="008B47ED"/>
    <w:rsid w:val="008B4936"/>
    <w:rsid w:val="008B4A24"/>
    <w:rsid w:val="008B525C"/>
    <w:rsid w:val="008B5A27"/>
    <w:rsid w:val="008B67B0"/>
    <w:rsid w:val="008B6A6E"/>
    <w:rsid w:val="008B6F95"/>
    <w:rsid w:val="008B70E4"/>
    <w:rsid w:val="008B724D"/>
    <w:rsid w:val="008B72F1"/>
    <w:rsid w:val="008B73D0"/>
    <w:rsid w:val="008B73FD"/>
    <w:rsid w:val="008B7A2C"/>
    <w:rsid w:val="008B7B75"/>
    <w:rsid w:val="008C05E2"/>
    <w:rsid w:val="008C0932"/>
    <w:rsid w:val="008C0EB6"/>
    <w:rsid w:val="008C1A2B"/>
    <w:rsid w:val="008C1D57"/>
    <w:rsid w:val="008C28C9"/>
    <w:rsid w:val="008C28EF"/>
    <w:rsid w:val="008C2984"/>
    <w:rsid w:val="008C2B8C"/>
    <w:rsid w:val="008C2BBD"/>
    <w:rsid w:val="008C30FB"/>
    <w:rsid w:val="008C3595"/>
    <w:rsid w:val="008C3865"/>
    <w:rsid w:val="008C3955"/>
    <w:rsid w:val="008C3D24"/>
    <w:rsid w:val="008C42BC"/>
    <w:rsid w:val="008C44CE"/>
    <w:rsid w:val="008C451B"/>
    <w:rsid w:val="008C4708"/>
    <w:rsid w:val="008C4945"/>
    <w:rsid w:val="008C4AE5"/>
    <w:rsid w:val="008C5445"/>
    <w:rsid w:val="008C589C"/>
    <w:rsid w:val="008C59E9"/>
    <w:rsid w:val="008C632D"/>
    <w:rsid w:val="008C6A13"/>
    <w:rsid w:val="008C6BA5"/>
    <w:rsid w:val="008C6F50"/>
    <w:rsid w:val="008C731B"/>
    <w:rsid w:val="008C74C7"/>
    <w:rsid w:val="008C7558"/>
    <w:rsid w:val="008C7939"/>
    <w:rsid w:val="008C7A27"/>
    <w:rsid w:val="008C7BFC"/>
    <w:rsid w:val="008C7C4E"/>
    <w:rsid w:val="008D00F7"/>
    <w:rsid w:val="008D0125"/>
    <w:rsid w:val="008D0540"/>
    <w:rsid w:val="008D0CEF"/>
    <w:rsid w:val="008D1380"/>
    <w:rsid w:val="008D1470"/>
    <w:rsid w:val="008D1569"/>
    <w:rsid w:val="008D1828"/>
    <w:rsid w:val="008D1D00"/>
    <w:rsid w:val="008D2085"/>
    <w:rsid w:val="008D22AE"/>
    <w:rsid w:val="008D2615"/>
    <w:rsid w:val="008D26AE"/>
    <w:rsid w:val="008D2794"/>
    <w:rsid w:val="008D33D7"/>
    <w:rsid w:val="008D363B"/>
    <w:rsid w:val="008D3CF6"/>
    <w:rsid w:val="008D3D8A"/>
    <w:rsid w:val="008D42C1"/>
    <w:rsid w:val="008D448D"/>
    <w:rsid w:val="008D4571"/>
    <w:rsid w:val="008D459C"/>
    <w:rsid w:val="008D46BF"/>
    <w:rsid w:val="008D47A1"/>
    <w:rsid w:val="008D4AD2"/>
    <w:rsid w:val="008D4D78"/>
    <w:rsid w:val="008D4E4C"/>
    <w:rsid w:val="008D50F4"/>
    <w:rsid w:val="008D51BB"/>
    <w:rsid w:val="008D533D"/>
    <w:rsid w:val="008D5961"/>
    <w:rsid w:val="008D5C1D"/>
    <w:rsid w:val="008D5D19"/>
    <w:rsid w:val="008D5F16"/>
    <w:rsid w:val="008D60BF"/>
    <w:rsid w:val="008D657A"/>
    <w:rsid w:val="008D6A3E"/>
    <w:rsid w:val="008D6BDB"/>
    <w:rsid w:val="008D6C4D"/>
    <w:rsid w:val="008D6D2B"/>
    <w:rsid w:val="008D712A"/>
    <w:rsid w:val="008D7526"/>
    <w:rsid w:val="008D7ABE"/>
    <w:rsid w:val="008D7AEE"/>
    <w:rsid w:val="008D7B44"/>
    <w:rsid w:val="008D7C90"/>
    <w:rsid w:val="008D7EF7"/>
    <w:rsid w:val="008E0127"/>
    <w:rsid w:val="008E02C9"/>
    <w:rsid w:val="008E04C7"/>
    <w:rsid w:val="008E08A3"/>
    <w:rsid w:val="008E0938"/>
    <w:rsid w:val="008E0B84"/>
    <w:rsid w:val="008E1598"/>
    <w:rsid w:val="008E1C0A"/>
    <w:rsid w:val="008E1C70"/>
    <w:rsid w:val="008E2661"/>
    <w:rsid w:val="008E2721"/>
    <w:rsid w:val="008E3692"/>
    <w:rsid w:val="008E377F"/>
    <w:rsid w:val="008E395A"/>
    <w:rsid w:val="008E3E3D"/>
    <w:rsid w:val="008E478E"/>
    <w:rsid w:val="008E4A1E"/>
    <w:rsid w:val="008E4CBC"/>
    <w:rsid w:val="008E4E40"/>
    <w:rsid w:val="008E50AE"/>
    <w:rsid w:val="008E50D6"/>
    <w:rsid w:val="008E52F0"/>
    <w:rsid w:val="008E54B4"/>
    <w:rsid w:val="008E5574"/>
    <w:rsid w:val="008E5A7A"/>
    <w:rsid w:val="008E5B47"/>
    <w:rsid w:val="008E64A4"/>
    <w:rsid w:val="008E6594"/>
    <w:rsid w:val="008E65CB"/>
    <w:rsid w:val="008E66E2"/>
    <w:rsid w:val="008E673C"/>
    <w:rsid w:val="008E6AAF"/>
    <w:rsid w:val="008E6CEE"/>
    <w:rsid w:val="008E7020"/>
    <w:rsid w:val="008E712B"/>
    <w:rsid w:val="008E724D"/>
    <w:rsid w:val="008E739E"/>
    <w:rsid w:val="008E73F1"/>
    <w:rsid w:val="008E7446"/>
    <w:rsid w:val="008E7AF7"/>
    <w:rsid w:val="008E7BFD"/>
    <w:rsid w:val="008F01C1"/>
    <w:rsid w:val="008F030B"/>
    <w:rsid w:val="008F038A"/>
    <w:rsid w:val="008F0478"/>
    <w:rsid w:val="008F0AD4"/>
    <w:rsid w:val="008F1449"/>
    <w:rsid w:val="008F164E"/>
    <w:rsid w:val="008F173F"/>
    <w:rsid w:val="008F184C"/>
    <w:rsid w:val="008F184F"/>
    <w:rsid w:val="008F1A8E"/>
    <w:rsid w:val="008F1B4B"/>
    <w:rsid w:val="008F1BCF"/>
    <w:rsid w:val="008F2124"/>
    <w:rsid w:val="008F2130"/>
    <w:rsid w:val="008F2226"/>
    <w:rsid w:val="008F22E9"/>
    <w:rsid w:val="008F2578"/>
    <w:rsid w:val="008F265F"/>
    <w:rsid w:val="008F30B6"/>
    <w:rsid w:val="008F3196"/>
    <w:rsid w:val="008F35F1"/>
    <w:rsid w:val="008F36C9"/>
    <w:rsid w:val="008F3730"/>
    <w:rsid w:val="008F3EE7"/>
    <w:rsid w:val="008F4183"/>
    <w:rsid w:val="008F470B"/>
    <w:rsid w:val="008F4A1D"/>
    <w:rsid w:val="008F4C91"/>
    <w:rsid w:val="008F4DB6"/>
    <w:rsid w:val="008F4FEC"/>
    <w:rsid w:val="008F54D7"/>
    <w:rsid w:val="008F5859"/>
    <w:rsid w:val="008F58EB"/>
    <w:rsid w:val="008F591F"/>
    <w:rsid w:val="008F5A86"/>
    <w:rsid w:val="008F6201"/>
    <w:rsid w:val="008F6AF2"/>
    <w:rsid w:val="008F6BED"/>
    <w:rsid w:val="008F6CC1"/>
    <w:rsid w:val="008F6CE6"/>
    <w:rsid w:val="008F6F23"/>
    <w:rsid w:val="008F74C1"/>
    <w:rsid w:val="008F7856"/>
    <w:rsid w:val="008F7A58"/>
    <w:rsid w:val="008F7DBE"/>
    <w:rsid w:val="00900583"/>
    <w:rsid w:val="00900B56"/>
    <w:rsid w:val="00900CC4"/>
    <w:rsid w:val="00900D57"/>
    <w:rsid w:val="009016CF"/>
    <w:rsid w:val="0090192C"/>
    <w:rsid w:val="0090195A"/>
    <w:rsid w:val="00901A4F"/>
    <w:rsid w:val="009020A4"/>
    <w:rsid w:val="00902194"/>
    <w:rsid w:val="0090289C"/>
    <w:rsid w:val="009028D1"/>
    <w:rsid w:val="00903096"/>
    <w:rsid w:val="00903898"/>
    <w:rsid w:val="0090429A"/>
    <w:rsid w:val="009044FA"/>
    <w:rsid w:val="0090450C"/>
    <w:rsid w:val="00904B30"/>
    <w:rsid w:val="00904BEC"/>
    <w:rsid w:val="00904C06"/>
    <w:rsid w:val="00904D8F"/>
    <w:rsid w:val="00904FD5"/>
    <w:rsid w:val="00905151"/>
    <w:rsid w:val="0090515D"/>
    <w:rsid w:val="009052C4"/>
    <w:rsid w:val="0090543B"/>
    <w:rsid w:val="009057D7"/>
    <w:rsid w:val="00905A64"/>
    <w:rsid w:val="00905C38"/>
    <w:rsid w:val="00905DBC"/>
    <w:rsid w:val="00906073"/>
    <w:rsid w:val="00906300"/>
    <w:rsid w:val="0090635E"/>
    <w:rsid w:val="009063A0"/>
    <w:rsid w:val="00906CCC"/>
    <w:rsid w:val="00907185"/>
    <w:rsid w:val="0090754D"/>
    <w:rsid w:val="009076C5"/>
    <w:rsid w:val="009076D6"/>
    <w:rsid w:val="009077BE"/>
    <w:rsid w:val="00907829"/>
    <w:rsid w:val="00907E94"/>
    <w:rsid w:val="00907F6A"/>
    <w:rsid w:val="00907F7D"/>
    <w:rsid w:val="00910059"/>
    <w:rsid w:val="00910972"/>
    <w:rsid w:val="00910B41"/>
    <w:rsid w:val="00910C9B"/>
    <w:rsid w:val="00910E43"/>
    <w:rsid w:val="00911277"/>
    <w:rsid w:val="009115A7"/>
    <w:rsid w:val="00911E44"/>
    <w:rsid w:val="00911F1E"/>
    <w:rsid w:val="009123AE"/>
    <w:rsid w:val="009124CB"/>
    <w:rsid w:val="0091269C"/>
    <w:rsid w:val="00912829"/>
    <w:rsid w:val="00912853"/>
    <w:rsid w:val="00912A45"/>
    <w:rsid w:val="009132E8"/>
    <w:rsid w:val="00913498"/>
    <w:rsid w:val="009134E2"/>
    <w:rsid w:val="0091371C"/>
    <w:rsid w:val="00913ABA"/>
    <w:rsid w:val="00913D4F"/>
    <w:rsid w:val="00913DB9"/>
    <w:rsid w:val="00914113"/>
    <w:rsid w:val="00914648"/>
    <w:rsid w:val="00914710"/>
    <w:rsid w:val="00914A26"/>
    <w:rsid w:val="00914F21"/>
    <w:rsid w:val="00915111"/>
    <w:rsid w:val="009152DF"/>
    <w:rsid w:val="00915936"/>
    <w:rsid w:val="00915C77"/>
    <w:rsid w:val="00915EC8"/>
    <w:rsid w:val="00916A09"/>
    <w:rsid w:val="00916B2A"/>
    <w:rsid w:val="00916F79"/>
    <w:rsid w:val="00917119"/>
    <w:rsid w:val="00917446"/>
    <w:rsid w:val="009177D8"/>
    <w:rsid w:val="00917997"/>
    <w:rsid w:val="00917C71"/>
    <w:rsid w:val="009202C3"/>
    <w:rsid w:val="00920AA0"/>
    <w:rsid w:val="00920D8F"/>
    <w:rsid w:val="009210C9"/>
    <w:rsid w:val="009211E3"/>
    <w:rsid w:val="0092155F"/>
    <w:rsid w:val="009216D3"/>
    <w:rsid w:val="00921820"/>
    <w:rsid w:val="00921874"/>
    <w:rsid w:val="00921B74"/>
    <w:rsid w:val="00921C37"/>
    <w:rsid w:val="00921CFD"/>
    <w:rsid w:val="00922009"/>
    <w:rsid w:val="00922635"/>
    <w:rsid w:val="009226C8"/>
    <w:rsid w:val="00922805"/>
    <w:rsid w:val="009229B1"/>
    <w:rsid w:val="009231C0"/>
    <w:rsid w:val="00923B6B"/>
    <w:rsid w:val="00923C9E"/>
    <w:rsid w:val="00924320"/>
    <w:rsid w:val="009245E3"/>
    <w:rsid w:val="00924733"/>
    <w:rsid w:val="00924BA5"/>
    <w:rsid w:val="0092510F"/>
    <w:rsid w:val="009251B2"/>
    <w:rsid w:val="00925B17"/>
    <w:rsid w:val="009260F7"/>
    <w:rsid w:val="009261BC"/>
    <w:rsid w:val="00926733"/>
    <w:rsid w:val="0092732E"/>
    <w:rsid w:val="00927954"/>
    <w:rsid w:val="00927CCE"/>
    <w:rsid w:val="0093025D"/>
    <w:rsid w:val="00930340"/>
    <w:rsid w:val="009307DF"/>
    <w:rsid w:val="0093085A"/>
    <w:rsid w:val="0093087B"/>
    <w:rsid w:val="00930AC8"/>
    <w:rsid w:val="00930C04"/>
    <w:rsid w:val="0093158A"/>
    <w:rsid w:val="0093170D"/>
    <w:rsid w:val="00932051"/>
    <w:rsid w:val="00932315"/>
    <w:rsid w:val="0093232B"/>
    <w:rsid w:val="0093232E"/>
    <w:rsid w:val="00932CD0"/>
    <w:rsid w:val="00932F4D"/>
    <w:rsid w:val="009330D4"/>
    <w:rsid w:val="009332AD"/>
    <w:rsid w:val="009338CC"/>
    <w:rsid w:val="00933B58"/>
    <w:rsid w:val="00933EFD"/>
    <w:rsid w:val="0093410D"/>
    <w:rsid w:val="00934638"/>
    <w:rsid w:val="00934823"/>
    <w:rsid w:val="00934B42"/>
    <w:rsid w:val="00934BAE"/>
    <w:rsid w:val="00934C39"/>
    <w:rsid w:val="0093546B"/>
    <w:rsid w:val="009361C0"/>
    <w:rsid w:val="009362F3"/>
    <w:rsid w:val="009369C4"/>
    <w:rsid w:val="00936B09"/>
    <w:rsid w:val="00936B3F"/>
    <w:rsid w:val="00936CEA"/>
    <w:rsid w:val="00936CFD"/>
    <w:rsid w:val="00936D61"/>
    <w:rsid w:val="00936E69"/>
    <w:rsid w:val="00936F1F"/>
    <w:rsid w:val="00937009"/>
    <w:rsid w:val="0093771C"/>
    <w:rsid w:val="0093786A"/>
    <w:rsid w:val="00937C9A"/>
    <w:rsid w:val="00937DEC"/>
    <w:rsid w:val="00940090"/>
    <w:rsid w:val="00940342"/>
    <w:rsid w:val="00940485"/>
    <w:rsid w:val="009404C9"/>
    <w:rsid w:val="009406CB"/>
    <w:rsid w:val="00940819"/>
    <w:rsid w:val="009410AC"/>
    <w:rsid w:val="009412A3"/>
    <w:rsid w:val="00941928"/>
    <w:rsid w:val="00941A0E"/>
    <w:rsid w:val="00941AF4"/>
    <w:rsid w:val="00941E92"/>
    <w:rsid w:val="009423C7"/>
    <w:rsid w:val="0094248C"/>
    <w:rsid w:val="0094268C"/>
    <w:rsid w:val="0094293C"/>
    <w:rsid w:val="00942A36"/>
    <w:rsid w:val="00943169"/>
    <w:rsid w:val="00943398"/>
    <w:rsid w:val="009435E8"/>
    <w:rsid w:val="009437C2"/>
    <w:rsid w:val="00943A10"/>
    <w:rsid w:val="00943B16"/>
    <w:rsid w:val="009440C5"/>
    <w:rsid w:val="0094469E"/>
    <w:rsid w:val="00944797"/>
    <w:rsid w:val="009447E7"/>
    <w:rsid w:val="00944DEE"/>
    <w:rsid w:val="00944E69"/>
    <w:rsid w:val="00944EFB"/>
    <w:rsid w:val="009459E8"/>
    <w:rsid w:val="00945FBD"/>
    <w:rsid w:val="00946340"/>
    <w:rsid w:val="0094640F"/>
    <w:rsid w:val="009466E0"/>
    <w:rsid w:val="00946884"/>
    <w:rsid w:val="00946CAE"/>
    <w:rsid w:val="00946E5D"/>
    <w:rsid w:val="00946FB7"/>
    <w:rsid w:val="009471A4"/>
    <w:rsid w:val="009471FC"/>
    <w:rsid w:val="009472FB"/>
    <w:rsid w:val="009475AB"/>
    <w:rsid w:val="0094762D"/>
    <w:rsid w:val="00947650"/>
    <w:rsid w:val="009476B8"/>
    <w:rsid w:val="009477E5"/>
    <w:rsid w:val="009479C1"/>
    <w:rsid w:val="009479CB"/>
    <w:rsid w:val="009479E3"/>
    <w:rsid w:val="00947AB5"/>
    <w:rsid w:val="00947C6B"/>
    <w:rsid w:val="00947DA6"/>
    <w:rsid w:val="00947DFB"/>
    <w:rsid w:val="00947EEC"/>
    <w:rsid w:val="0095032F"/>
    <w:rsid w:val="0095042A"/>
    <w:rsid w:val="009511CF"/>
    <w:rsid w:val="0095152C"/>
    <w:rsid w:val="0095191C"/>
    <w:rsid w:val="00951E76"/>
    <w:rsid w:val="00952027"/>
    <w:rsid w:val="009520C0"/>
    <w:rsid w:val="00952391"/>
    <w:rsid w:val="009528BA"/>
    <w:rsid w:val="0095297C"/>
    <w:rsid w:val="00952AFA"/>
    <w:rsid w:val="00952C1B"/>
    <w:rsid w:val="00952C6E"/>
    <w:rsid w:val="00952F5F"/>
    <w:rsid w:val="0095312A"/>
    <w:rsid w:val="009535C2"/>
    <w:rsid w:val="00953656"/>
    <w:rsid w:val="00953A56"/>
    <w:rsid w:val="00953EE1"/>
    <w:rsid w:val="00954125"/>
    <w:rsid w:val="00954F39"/>
    <w:rsid w:val="0095546C"/>
    <w:rsid w:val="0095553E"/>
    <w:rsid w:val="00955679"/>
    <w:rsid w:val="00955798"/>
    <w:rsid w:val="00955ADD"/>
    <w:rsid w:val="00955B9F"/>
    <w:rsid w:val="009560A3"/>
    <w:rsid w:val="0095645F"/>
    <w:rsid w:val="00956A59"/>
    <w:rsid w:val="00956E3E"/>
    <w:rsid w:val="0095740D"/>
    <w:rsid w:val="00957732"/>
    <w:rsid w:val="00957A63"/>
    <w:rsid w:val="00957AD7"/>
    <w:rsid w:val="00957B72"/>
    <w:rsid w:val="00957D68"/>
    <w:rsid w:val="00957F51"/>
    <w:rsid w:val="009602C1"/>
    <w:rsid w:val="009605BF"/>
    <w:rsid w:val="00960C95"/>
    <w:rsid w:val="00961012"/>
    <w:rsid w:val="00961516"/>
    <w:rsid w:val="009616C2"/>
    <w:rsid w:val="00962279"/>
    <w:rsid w:val="00962748"/>
    <w:rsid w:val="00962AB4"/>
    <w:rsid w:val="00962CF9"/>
    <w:rsid w:val="00963265"/>
    <w:rsid w:val="009633DF"/>
    <w:rsid w:val="0096357F"/>
    <w:rsid w:val="00963D81"/>
    <w:rsid w:val="00963FC8"/>
    <w:rsid w:val="00964136"/>
    <w:rsid w:val="00964325"/>
    <w:rsid w:val="00964D60"/>
    <w:rsid w:val="00965148"/>
    <w:rsid w:val="009653A9"/>
    <w:rsid w:val="009656FF"/>
    <w:rsid w:val="009657A6"/>
    <w:rsid w:val="009659C4"/>
    <w:rsid w:val="00965AFD"/>
    <w:rsid w:val="00965B19"/>
    <w:rsid w:val="00965C9A"/>
    <w:rsid w:val="00965D83"/>
    <w:rsid w:val="00965EAB"/>
    <w:rsid w:val="009660ED"/>
    <w:rsid w:val="009661ED"/>
    <w:rsid w:val="009665BB"/>
    <w:rsid w:val="00966A3C"/>
    <w:rsid w:val="00966A84"/>
    <w:rsid w:val="00966D81"/>
    <w:rsid w:val="00966FFB"/>
    <w:rsid w:val="00967347"/>
    <w:rsid w:val="009675BA"/>
    <w:rsid w:val="00967902"/>
    <w:rsid w:val="009679E4"/>
    <w:rsid w:val="0097010B"/>
    <w:rsid w:val="00970AAF"/>
    <w:rsid w:val="00970BB6"/>
    <w:rsid w:val="00970CB9"/>
    <w:rsid w:val="00971866"/>
    <w:rsid w:val="00971A57"/>
    <w:rsid w:val="00971A7D"/>
    <w:rsid w:val="00971DEF"/>
    <w:rsid w:val="00971DF2"/>
    <w:rsid w:val="00971FF4"/>
    <w:rsid w:val="00972423"/>
    <w:rsid w:val="00972525"/>
    <w:rsid w:val="0097289A"/>
    <w:rsid w:val="009728EB"/>
    <w:rsid w:val="0097290B"/>
    <w:rsid w:val="0097294E"/>
    <w:rsid w:val="00972C82"/>
    <w:rsid w:val="00972C89"/>
    <w:rsid w:val="009731C2"/>
    <w:rsid w:val="0097320A"/>
    <w:rsid w:val="00973264"/>
    <w:rsid w:val="00973271"/>
    <w:rsid w:val="009733F2"/>
    <w:rsid w:val="00973775"/>
    <w:rsid w:val="00973A50"/>
    <w:rsid w:val="00973BF7"/>
    <w:rsid w:val="00973CB3"/>
    <w:rsid w:val="0097400D"/>
    <w:rsid w:val="009741F9"/>
    <w:rsid w:val="00974B3E"/>
    <w:rsid w:val="00974BDE"/>
    <w:rsid w:val="00974BFE"/>
    <w:rsid w:val="00974E03"/>
    <w:rsid w:val="00974F92"/>
    <w:rsid w:val="00975200"/>
    <w:rsid w:val="00975AA3"/>
    <w:rsid w:val="00976268"/>
    <w:rsid w:val="00976437"/>
    <w:rsid w:val="0097696D"/>
    <w:rsid w:val="00976ABB"/>
    <w:rsid w:val="00976B46"/>
    <w:rsid w:val="00976CAA"/>
    <w:rsid w:val="00977259"/>
    <w:rsid w:val="0097730D"/>
    <w:rsid w:val="009776AA"/>
    <w:rsid w:val="00977DE3"/>
    <w:rsid w:val="00977EA5"/>
    <w:rsid w:val="00980265"/>
    <w:rsid w:val="00980395"/>
    <w:rsid w:val="0098056F"/>
    <w:rsid w:val="0098073E"/>
    <w:rsid w:val="00980A5D"/>
    <w:rsid w:val="00980BA3"/>
    <w:rsid w:val="00980F21"/>
    <w:rsid w:val="00981189"/>
    <w:rsid w:val="0098179F"/>
    <w:rsid w:val="00981994"/>
    <w:rsid w:val="00981B2F"/>
    <w:rsid w:val="00981BA6"/>
    <w:rsid w:val="00981DE5"/>
    <w:rsid w:val="00982628"/>
    <w:rsid w:val="009826C1"/>
    <w:rsid w:val="009826E5"/>
    <w:rsid w:val="00982B8A"/>
    <w:rsid w:val="00982D01"/>
    <w:rsid w:val="009832F2"/>
    <w:rsid w:val="00983447"/>
    <w:rsid w:val="0098348F"/>
    <w:rsid w:val="009840D6"/>
    <w:rsid w:val="009842E5"/>
    <w:rsid w:val="00984336"/>
    <w:rsid w:val="009846EF"/>
    <w:rsid w:val="00985283"/>
    <w:rsid w:val="009859FF"/>
    <w:rsid w:val="00985ABC"/>
    <w:rsid w:val="00985DDB"/>
    <w:rsid w:val="0098658B"/>
    <w:rsid w:val="009865A5"/>
    <w:rsid w:val="009865EE"/>
    <w:rsid w:val="0098673C"/>
    <w:rsid w:val="00986924"/>
    <w:rsid w:val="00986ACE"/>
    <w:rsid w:val="0098707C"/>
    <w:rsid w:val="009870B7"/>
    <w:rsid w:val="00987843"/>
    <w:rsid w:val="00990644"/>
    <w:rsid w:val="0099067E"/>
    <w:rsid w:val="009906AF"/>
    <w:rsid w:val="00990890"/>
    <w:rsid w:val="00990D4C"/>
    <w:rsid w:val="00991C67"/>
    <w:rsid w:val="00991D71"/>
    <w:rsid w:val="00991ED1"/>
    <w:rsid w:val="00991F22"/>
    <w:rsid w:val="00992227"/>
    <w:rsid w:val="00992274"/>
    <w:rsid w:val="0099250B"/>
    <w:rsid w:val="00992854"/>
    <w:rsid w:val="00992BA3"/>
    <w:rsid w:val="00992CFA"/>
    <w:rsid w:val="00992E7A"/>
    <w:rsid w:val="00992F0C"/>
    <w:rsid w:val="0099308D"/>
    <w:rsid w:val="00993188"/>
    <w:rsid w:val="00993228"/>
    <w:rsid w:val="009938F4"/>
    <w:rsid w:val="009945E1"/>
    <w:rsid w:val="00994881"/>
    <w:rsid w:val="00994C37"/>
    <w:rsid w:val="00994CF7"/>
    <w:rsid w:val="00994DC0"/>
    <w:rsid w:val="0099533F"/>
    <w:rsid w:val="0099540D"/>
    <w:rsid w:val="009958C1"/>
    <w:rsid w:val="00995BFD"/>
    <w:rsid w:val="00995C73"/>
    <w:rsid w:val="00995E0F"/>
    <w:rsid w:val="009962B0"/>
    <w:rsid w:val="00996672"/>
    <w:rsid w:val="0099675F"/>
    <w:rsid w:val="00996A1E"/>
    <w:rsid w:val="00996BD1"/>
    <w:rsid w:val="00996E82"/>
    <w:rsid w:val="00997225"/>
    <w:rsid w:val="00997B00"/>
    <w:rsid w:val="00997E2E"/>
    <w:rsid w:val="009A043D"/>
    <w:rsid w:val="009A067D"/>
    <w:rsid w:val="009A0C74"/>
    <w:rsid w:val="009A0DF1"/>
    <w:rsid w:val="009A1CE4"/>
    <w:rsid w:val="009A1CF0"/>
    <w:rsid w:val="009A213C"/>
    <w:rsid w:val="009A2577"/>
    <w:rsid w:val="009A2769"/>
    <w:rsid w:val="009A2BD1"/>
    <w:rsid w:val="009A2BDB"/>
    <w:rsid w:val="009A2CD7"/>
    <w:rsid w:val="009A2D6C"/>
    <w:rsid w:val="009A2DF7"/>
    <w:rsid w:val="009A3090"/>
    <w:rsid w:val="009A336A"/>
    <w:rsid w:val="009A3405"/>
    <w:rsid w:val="009A38BB"/>
    <w:rsid w:val="009A38D0"/>
    <w:rsid w:val="009A38E7"/>
    <w:rsid w:val="009A434D"/>
    <w:rsid w:val="009A43E9"/>
    <w:rsid w:val="009A4B4B"/>
    <w:rsid w:val="009A4B8D"/>
    <w:rsid w:val="009A5426"/>
    <w:rsid w:val="009A5517"/>
    <w:rsid w:val="009A5797"/>
    <w:rsid w:val="009A59AA"/>
    <w:rsid w:val="009A5BAC"/>
    <w:rsid w:val="009A607F"/>
    <w:rsid w:val="009A6210"/>
    <w:rsid w:val="009A6CAB"/>
    <w:rsid w:val="009A73FA"/>
    <w:rsid w:val="009A75C3"/>
    <w:rsid w:val="009A7C36"/>
    <w:rsid w:val="009A7EC6"/>
    <w:rsid w:val="009A7ED4"/>
    <w:rsid w:val="009B0162"/>
    <w:rsid w:val="009B02D9"/>
    <w:rsid w:val="009B11FD"/>
    <w:rsid w:val="009B1237"/>
    <w:rsid w:val="009B16D4"/>
    <w:rsid w:val="009B1758"/>
    <w:rsid w:val="009B2080"/>
    <w:rsid w:val="009B2891"/>
    <w:rsid w:val="009B2AF3"/>
    <w:rsid w:val="009B2BB6"/>
    <w:rsid w:val="009B2CFE"/>
    <w:rsid w:val="009B2D53"/>
    <w:rsid w:val="009B2F41"/>
    <w:rsid w:val="009B3597"/>
    <w:rsid w:val="009B37F4"/>
    <w:rsid w:val="009B3ADC"/>
    <w:rsid w:val="009B3E24"/>
    <w:rsid w:val="009B3FA9"/>
    <w:rsid w:val="009B3FAD"/>
    <w:rsid w:val="009B4354"/>
    <w:rsid w:val="009B44F0"/>
    <w:rsid w:val="009B44F5"/>
    <w:rsid w:val="009B4D31"/>
    <w:rsid w:val="009B50D5"/>
    <w:rsid w:val="009B5509"/>
    <w:rsid w:val="009B5DCB"/>
    <w:rsid w:val="009B5E7F"/>
    <w:rsid w:val="009B6005"/>
    <w:rsid w:val="009B6167"/>
    <w:rsid w:val="009B62DF"/>
    <w:rsid w:val="009B6418"/>
    <w:rsid w:val="009B66D7"/>
    <w:rsid w:val="009B6BFC"/>
    <w:rsid w:val="009B7099"/>
    <w:rsid w:val="009B724A"/>
    <w:rsid w:val="009B73E2"/>
    <w:rsid w:val="009B7454"/>
    <w:rsid w:val="009B76E4"/>
    <w:rsid w:val="009B79CA"/>
    <w:rsid w:val="009B7B2D"/>
    <w:rsid w:val="009B7FFD"/>
    <w:rsid w:val="009C021C"/>
    <w:rsid w:val="009C037B"/>
    <w:rsid w:val="009C05D7"/>
    <w:rsid w:val="009C08D8"/>
    <w:rsid w:val="009C106C"/>
    <w:rsid w:val="009C117B"/>
    <w:rsid w:val="009C1626"/>
    <w:rsid w:val="009C16B9"/>
    <w:rsid w:val="009C1735"/>
    <w:rsid w:val="009C19E3"/>
    <w:rsid w:val="009C1C08"/>
    <w:rsid w:val="009C23CF"/>
    <w:rsid w:val="009C2716"/>
    <w:rsid w:val="009C305E"/>
    <w:rsid w:val="009C3263"/>
    <w:rsid w:val="009C3266"/>
    <w:rsid w:val="009C3BA1"/>
    <w:rsid w:val="009C3ED2"/>
    <w:rsid w:val="009C4900"/>
    <w:rsid w:val="009C4926"/>
    <w:rsid w:val="009C4AB3"/>
    <w:rsid w:val="009C4B5A"/>
    <w:rsid w:val="009C4CF3"/>
    <w:rsid w:val="009C4DF5"/>
    <w:rsid w:val="009C5232"/>
    <w:rsid w:val="009C6029"/>
    <w:rsid w:val="009C60BD"/>
    <w:rsid w:val="009C6248"/>
    <w:rsid w:val="009C6264"/>
    <w:rsid w:val="009C64B5"/>
    <w:rsid w:val="009C64D3"/>
    <w:rsid w:val="009C682D"/>
    <w:rsid w:val="009C68A3"/>
    <w:rsid w:val="009C6E08"/>
    <w:rsid w:val="009C739B"/>
    <w:rsid w:val="009C73D7"/>
    <w:rsid w:val="009C7723"/>
    <w:rsid w:val="009C7A0F"/>
    <w:rsid w:val="009C7E3E"/>
    <w:rsid w:val="009D02B8"/>
    <w:rsid w:val="009D0C6C"/>
    <w:rsid w:val="009D0E73"/>
    <w:rsid w:val="009D173F"/>
    <w:rsid w:val="009D1759"/>
    <w:rsid w:val="009D1763"/>
    <w:rsid w:val="009D1847"/>
    <w:rsid w:val="009D19B8"/>
    <w:rsid w:val="009D1B12"/>
    <w:rsid w:val="009D1B89"/>
    <w:rsid w:val="009D2AD5"/>
    <w:rsid w:val="009D3A76"/>
    <w:rsid w:val="009D3B1A"/>
    <w:rsid w:val="009D3CE8"/>
    <w:rsid w:val="009D3FD7"/>
    <w:rsid w:val="009D45A2"/>
    <w:rsid w:val="009D482D"/>
    <w:rsid w:val="009D48C8"/>
    <w:rsid w:val="009D4DD1"/>
    <w:rsid w:val="009D4E46"/>
    <w:rsid w:val="009D4F07"/>
    <w:rsid w:val="009D4FDA"/>
    <w:rsid w:val="009D58FF"/>
    <w:rsid w:val="009D5BDB"/>
    <w:rsid w:val="009D5C11"/>
    <w:rsid w:val="009D5E0C"/>
    <w:rsid w:val="009D6117"/>
    <w:rsid w:val="009D658D"/>
    <w:rsid w:val="009D678B"/>
    <w:rsid w:val="009D68E3"/>
    <w:rsid w:val="009D6D35"/>
    <w:rsid w:val="009D6F60"/>
    <w:rsid w:val="009D6FB9"/>
    <w:rsid w:val="009D78BE"/>
    <w:rsid w:val="009D7968"/>
    <w:rsid w:val="009D7D1D"/>
    <w:rsid w:val="009D7DA0"/>
    <w:rsid w:val="009E0013"/>
    <w:rsid w:val="009E0110"/>
    <w:rsid w:val="009E03C8"/>
    <w:rsid w:val="009E04C4"/>
    <w:rsid w:val="009E0754"/>
    <w:rsid w:val="009E07F2"/>
    <w:rsid w:val="009E0B30"/>
    <w:rsid w:val="009E0B95"/>
    <w:rsid w:val="009E0D43"/>
    <w:rsid w:val="009E0E25"/>
    <w:rsid w:val="009E0EE1"/>
    <w:rsid w:val="009E1396"/>
    <w:rsid w:val="009E14C3"/>
    <w:rsid w:val="009E14DA"/>
    <w:rsid w:val="009E172A"/>
    <w:rsid w:val="009E1878"/>
    <w:rsid w:val="009E194E"/>
    <w:rsid w:val="009E1CF7"/>
    <w:rsid w:val="009E1DE2"/>
    <w:rsid w:val="009E1E9E"/>
    <w:rsid w:val="009E2051"/>
    <w:rsid w:val="009E21A3"/>
    <w:rsid w:val="009E2815"/>
    <w:rsid w:val="009E290A"/>
    <w:rsid w:val="009E2BC2"/>
    <w:rsid w:val="009E2EB0"/>
    <w:rsid w:val="009E2FCE"/>
    <w:rsid w:val="009E30CC"/>
    <w:rsid w:val="009E32BD"/>
    <w:rsid w:val="009E3478"/>
    <w:rsid w:val="009E384C"/>
    <w:rsid w:val="009E3DD3"/>
    <w:rsid w:val="009E428C"/>
    <w:rsid w:val="009E440E"/>
    <w:rsid w:val="009E469E"/>
    <w:rsid w:val="009E4759"/>
    <w:rsid w:val="009E47EA"/>
    <w:rsid w:val="009E4874"/>
    <w:rsid w:val="009E4981"/>
    <w:rsid w:val="009E4C91"/>
    <w:rsid w:val="009E4DA9"/>
    <w:rsid w:val="009E4DE6"/>
    <w:rsid w:val="009E58E5"/>
    <w:rsid w:val="009E6F41"/>
    <w:rsid w:val="009E6FFA"/>
    <w:rsid w:val="009E7826"/>
    <w:rsid w:val="009E78AC"/>
    <w:rsid w:val="009E7968"/>
    <w:rsid w:val="009E7AF1"/>
    <w:rsid w:val="009E7B4B"/>
    <w:rsid w:val="009E7BCE"/>
    <w:rsid w:val="009E7E6D"/>
    <w:rsid w:val="009E7EF2"/>
    <w:rsid w:val="009F04C5"/>
    <w:rsid w:val="009F061C"/>
    <w:rsid w:val="009F0B2B"/>
    <w:rsid w:val="009F1054"/>
    <w:rsid w:val="009F1130"/>
    <w:rsid w:val="009F1199"/>
    <w:rsid w:val="009F11AC"/>
    <w:rsid w:val="009F1310"/>
    <w:rsid w:val="009F162C"/>
    <w:rsid w:val="009F1654"/>
    <w:rsid w:val="009F1801"/>
    <w:rsid w:val="009F18A5"/>
    <w:rsid w:val="009F1ADD"/>
    <w:rsid w:val="009F1CD7"/>
    <w:rsid w:val="009F2459"/>
    <w:rsid w:val="009F24CB"/>
    <w:rsid w:val="009F2E39"/>
    <w:rsid w:val="009F2ED4"/>
    <w:rsid w:val="009F2F5A"/>
    <w:rsid w:val="009F3245"/>
    <w:rsid w:val="009F3614"/>
    <w:rsid w:val="009F3CE7"/>
    <w:rsid w:val="009F3FC5"/>
    <w:rsid w:val="009F40C8"/>
    <w:rsid w:val="009F418B"/>
    <w:rsid w:val="009F438B"/>
    <w:rsid w:val="009F45E9"/>
    <w:rsid w:val="009F4A8A"/>
    <w:rsid w:val="009F4C2C"/>
    <w:rsid w:val="009F4F14"/>
    <w:rsid w:val="009F5055"/>
    <w:rsid w:val="009F55AB"/>
    <w:rsid w:val="009F5766"/>
    <w:rsid w:val="009F6A98"/>
    <w:rsid w:val="009F6B30"/>
    <w:rsid w:val="009F6E6E"/>
    <w:rsid w:val="009F72F6"/>
    <w:rsid w:val="009F7CC2"/>
    <w:rsid w:val="009F7DAB"/>
    <w:rsid w:val="00A00381"/>
    <w:rsid w:val="00A00547"/>
    <w:rsid w:val="00A00670"/>
    <w:rsid w:val="00A007D6"/>
    <w:rsid w:val="00A00D8F"/>
    <w:rsid w:val="00A01118"/>
    <w:rsid w:val="00A0126B"/>
    <w:rsid w:val="00A0128A"/>
    <w:rsid w:val="00A01698"/>
    <w:rsid w:val="00A01782"/>
    <w:rsid w:val="00A01D06"/>
    <w:rsid w:val="00A020FF"/>
    <w:rsid w:val="00A02C5E"/>
    <w:rsid w:val="00A032DA"/>
    <w:rsid w:val="00A03615"/>
    <w:rsid w:val="00A039FD"/>
    <w:rsid w:val="00A03EC2"/>
    <w:rsid w:val="00A04021"/>
    <w:rsid w:val="00A04171"/>
    <w:rsid w:val="00A044D8"/>
    <w:rsid w:val="00A0453D"/>
    <w:rsid w:val="00A04C9B"/>
    <w:rsid w:val="00A04CD7"/>
    <w:rsid w:val="00A04CDA"/>
    <w:rsid w:val="00A055B2"/>
    <w:rsid w:val="00A057D7"/>
    <w:rsid w:val="00A0586F"/>
    <w:rsid w:val="00A05A66"/>
    <w:rsid w:val="00A05F0D"/>
    <w:rsid w:val="00A05FD6"/>
    <w:rsid w:val="00A0623C"/>
    <w:rsid w:val="00A06262"/>
    <w:rsid w:val="00A063E6"/>
    <w:rsid w:val="00A06431"/>
    <w:rsid w:val="00A0665A"/>
    <w:rsid w:val="00A067F7"/>
    <w:rsid w:val="00A06C02"/>
    <w:rsid w:val="00A06C98"/>
    <w:rsid w:val="00A06F31"/>
    <w:rsid w:val="00A071B4"/>
    <w:rsid w:val="00A07618"/>
    <w:rsid w:val="00A07B45"/>
    <w:rsid w:val="00A07D4A"/>
    <w:rsid w:val="00A10190"/>
    <w:rsid w:val="00A10258"/>
    <w:rsid w:val="00A10A23"/>
    <w:rsid w:val="00A10A3D"/>
    <w:rsid w:val="00A10B18"/>
    <w:rsid w:val="00A10B19"/>
    <w:rsid w:val="00A10BCE"/>
    <w:rsid w:val="00A10D53"/>
    <w:rsid w:val="00A115E7"/>
    <w:rsid w:val="00A12893"/>
    <w:rsid w:val="00A128D6"/>
    <w:rsid w:val="00A13291"/>
    <w:rsid w:val="00A133EA"/>
    <w:rsid w:val="00A13414"/>
    <w:rsid w:val="00A1456B"/>
    <w:rsid w:val="00A145C6"/>
    <w:rsid w:val="00A145CB"/>
    <w:rsid w:val="00A14619"/>
    <w:rsid w:val="00A146AF"/>
    <w:rsid w:val="00A14748"/>
    <w:rsid w:val="00A1490A"/>
    <w:rsid w:val="00A14942"/>
    <w:rsid w:val="00A149DD"/>
    <w:rsid w:val="00A14CEE"/>
    <w:rsid w:val="00A14D81"/>
    <w:rsid w:val="00A1598B"/>
    <w:rsid w:val="00A15B49"/>
    <w:rsid w:val="00A15DB7"/>
    <w:rsid w:val="00A15FAF"/>
    <w:rsid w:val="00A1603D"/>
    <w:rsid w:val="00A1684A"/>
    <w:rsid w:val="00A169DF"/>
    <w:rsid w:val="00A16A2A"/>
    <w:rsid w:val="00A16A5E"/>
    <w:rsid w:val="00A1704E"/>
    <w:rsid w:val="00A170C7"/>
    <w:rsid w:val="00A173F4"/>
    <w:rsid w:val="00A17578"/>
    <w:rsid w:val="00A17A11"/>
    <w:rsid w:val="00A17E84"/>
    <w:rsid w:val="00A17EE0"/>
    <w:rsid w:val="00A17F0C"/>
    <w:rsid w:val="00A20110"/>
    <w:rsid w:val="00A2021C"/>
    <w:rsid w:val="00A204E9"/>
    <w:rsid w:val="00A2057E"/>
    <w:rsid w:val="00A2074C"/>
    <w:rsid w:val="00A20B1C"/>
    <w:rsid w:val="00A20C08"/>
    <w:rsid w:val="00A20DCE"/>
    <w:rsid w:val="00A20FF4"/>
    <w:rsid w:val="00A21171"/>
    <w:rsid w:val="00A21423"/>
    <w:rsid w:val="00A2268C"/>
    <w:rsid w:val="00A22C3F"/>
    <w:rsid w:val="00A22D55"/>
    <w:rsid w:val="00A22D5B"/>
    <w:rsid w:val="00A22FA0"/>
    <w:rsid w:val="00A230CC"/>
    <w:rsid w:val="00A231BB"/>
    <w:rsid w:val="00A23397"/>
    <w:rsid w:val="00A237B8"/>
    <w:rsid w:val="00A239E3"/>
    <w:rsid w:val="00A23CFC"/>
    <w:rsid w:val="00A23EC7"/>
    <w:rsid w:val="00A23F77"/>
    <w:rsid w:val="00A23FF6"/>
    <w:rsid w:val="00A2402A"/>
    <w:rsid w:val="00A249D0"/>
    <w:rsid w:val="00A24E35"/>
    <w:rsid w:val="00A24F5B"/>
    <w:rsid w:val="00A24F99"/>
    <w:rsid w:val="00A2559D"/>
    <w:rsid w:val="00A2579A"/>
    <w:rsid w:val="00A25CD3"/>
    <w:rsid w:val="00A25CDB"/>
    <w:rsid w:val="00A25EF0"/>
    <w:rsid w:val="00A26D67"/>
    <w:rsid w:val="00A26ED4"/>
    <w:rsid w:val="00A27464"/>
    <w:rsid w:val="00A275C3"/>
    <w:rsid w:val="00A27618"/>
    <w:rsid w:val="00A2769C"/>
    <w:rsid w:val="00A27FCC"/>
    <w:rsid w:val="00A30082"/>
    <w:rsid w:val="00A302C3"/>
    <w:rsid w:val="00A30515"/>
    <w:rsid w:val="00A30D0A"/>
    <w:rsid w:val="00A30DAB"/>
    <w:rsid w:val="00A30DF6"/>
    <w:rsid w:val="00A30E4C"/>
    <w:rsid w:val="00A30FE4"/>
    <w:rsid w:val="00A311A1"/>
    <w:rsid w:val="00A31258"/>
    <w:rsid w:val="00A31388"/>
    <w:rsid w:val="00A3174C"/>
    <w:rsid w:val="00A3196B"/>
    <w:rsid w:val="00A319AE"/>
    <w:rsid w:val="00A3205F"/>
    <w:rsid w:val="00A320D7"/>
    <w:rsid w:val="00A32EB6"/>
    <w:rsid w:val="00A334D5"/>
    <w:rsid w:val="00A33580"/>
    <w:rsid w:val="00A336CF"/>
    <w:rsid w:val="00A33C0A"/>
    <w:rsid w:val="00A33C6E"/>
    <w:rsid w:val="00A33CE4"/>
    <w:rsid w:val="00A343FC"/>
    <w:rsid w:val="00A3440A"/>
    <w:rsid w:val="00A34560"/>
    <w:rsid w:val="00A347A5"/>
    <w:rsid w:val="00A34BDC"/>
    <w:rsid w:val="00A34FAA"/>
    <w:rsid w:val="00A3524C"/>
    <w:rsid w:val="00A3545E"/>
    <w:rsid w:val="00A35872"/>
    <w:rsid w:val="00A35911"/>
    <w:rsid w:val="00A359F1"/>
    <w:rsid w:val="00A35B08"/>
    <w:rsid w:val="00A35F70"/>
    <w:rsid w:val="00A35FDE"/>
    <w:rsid w:val="00A36167"/>
    <w:rsid w:val="00A36169"/>
    <w:rsid w:val="00A36173"/>
    <w:rsid w:val="00A362D9"/>
    <w:rsid w:val="00A366E4"/>
    <w:rsid w:val="00A36746"/>
    <w:rsid w:val="00A36759"/>
    <w:rsid w:val="00A37A00"/>
    <w:rsid w:val="00A37D07"/>
    <w:rsid w:val="00A37E13"/>
    <w:rsid w:val="00A37F7E"/>
    <w:rsid w:val="00A40669"/>
    <w:rsid w:val="00A40B5F"/>
    <w:rsid w:val="00A40C00"/>
    <w:rsid w:val="00A412AE"/>
    <w:rsid w:val="00A413CA"/>
    <w:rsid w:val="00A41453"/>
    <w:rsid w:val="00A4163A"/>
    <w:rsid w:val="00A416E1"/>
    <w:rsid w:val="00A418E2"/>
    <w:rsid w:val="00A41B91"/>
    <w:rsid w:val="00A41DF0"/>
    <w:rsid w:val="00A4261C"/>
    <w:rsid w:val="00A43002"/>
    <w:rsid w:val="00A430F4"/>
    <w:rsid w:val="00A432F8"/>
    <w:rsid w:val="00A438D0"/>
    <w:rsid w:val="00A439C8"/>
    <w:rsid w:val="00A43CE7"/>
    <w:rsid w:val="00A43FE6"/>
    <w:rsid w:val="00A44246"/>
    <w:rsid w:val="00A443E0"/>
    <w:rsid w:val="00A44BE9"/>
    <w:rsid w:val="00A44F7F"/>
    <w:rsid w:val="00A44F8B"/>
    <w:rsid w:val="00A452BC"/>
    <w:rsid w:val="00A45376"/>
    <w:rsid w:val="00A4540D"/>
    <w:rsid w:val="00A454AA"/>
    <w:rsid w:val="00A454E8"/>
    <w:rsid w:val="00A45564"/>
    <w:rsid w:val="00A4573C"/>
    <w:rsid w:val="00A458A7"/>
    <w:rsid w:val="00A45DC7"/>
    <w:rsid w:val="00A45E82"/>
    <w:rsid w:val="00A464A0"/>
    <w:rsid w:val="00A46536"/>
    <w:rsid w:val="00A4661F"/>
    <w:rsid w:val="00A46854"/>
    <w:rsid w:val="00A46A6E"/>
    <w:rsid w:val="00A46B45"/>
    <w:rsid w:val="00A46B83"/>
    <w:rsid w:val="00A46CB2"/>
    <w:rsid w:val="00A4716A"/>
    <w:rsid w:val="00A4726D"/>
    <w:rsid w:val="00A47DEF"/>
    <w:rsid w:val="00A50083"/>
    <w:rsid w:val="00A5008C"/>
    <w:rsid w:val="00A500AA"/>
    <w:rsid w:val="00A50D90"/>
    <w:rsid w:val="00A510F1"/>
    <w:rsid w:val="00A51132"/>
    <w:rsid w:val="00A517CC"/>
    <w:rsid w:val="00A51889"/>
    <w:rsid w:val="00A51941"/>
    <w:rsid w:val="00A51B6F"/>
    <w:rsid w:val="00A51E76"/>
    <w:rsid w:val="00A52181"/>
    <w:rsid w:val="00A5291C"/>
    <w:rsid w:val="00A52FA1"/>
    <w:rsid w:val="00A5313B"/>
    <w:rsid w:val="00A533CD"/>
    <w:rsid w:val="00A5349D"/>
    <w:rsid w:val="00A534DB"/>
    <w:rsid w:val="00A5350E"/>
    <w:rsid w:val="00A5355F"/>
    <w:rsid w:val="00A535E0"/>
    <w:rsid w:val="00A53953"/>
    <w:rsid w:val="00A53C1C"/>
    <w:rsid w:val="00A53D29"/>
    <w:rsid w:val="00A54031"/>
    <w:rsid w:val="00A540E2"/>
    <w:rsid w:val="00A54235"/>
    <w:rsid w:val="00A542E4"/>
    <w:rsid w:val="00A54BB2"/>
    <w:rsid w:val="00A55980"/>
    <w:rsid w:val="00A55D45"/>
    <w:rsid w:val="00A55E98"/>
    <w:rsid w:val="00A5603B"/>
    <w:rsid w:val="00A560AC"/>
    <w:rsid w:val="00A56864"/>
    <w:rsid w:val="00A56C31"/>
    <w:rsid w:val="00A56EC4"/>
    <w:rsid w:val="00A56ED2"/>
    <w:rsid w:val="00A56EE2"/>
    <w:rsid w:val="00A56F9C"/>
    <w:rsid w:val="00A572B1"/>
    <w:rsid w:val="00A57317"/>
    <w:rsid w:val="00A574CD"/>
    <w:rsid w:val="00A57830"/>
    <w:rsid w:val="00A57ADA"/>
    <w:rsid w:val="00A57CCD"/>
    <w:rsid w:val="00A57D0E"/>
    <w:rsid w:val="00A57DCF"/>
    <w:rsid w:val="00A60089"/>
    <w:rsid w:val="00A60158"/>
    <w:rsid w:val="00A60175"/>
    <w:rsid w:val="00A604FD"/>
    <w:rsid w:val="00A6091B"/>
    <w:rsid w:val="00A60E3C"/>
    <w:rsid w:val="00A6148B"/>
    <w:rsid w:val="00A6163D"/>
    <w:rsid w:val="00A61C4F"/>
    <w:rsid w:val="00A61D9C"/>
    <w:rsid w:val="00A623E2"/>
    <w:rsid w:val="00A627C6"/>
    <w:rsid w:val="00A62E4F"/>
    <w:rsid w:val="00A62FF6"/>
    <w:rsid w:val="00A6315C"/>
    <w:rsid w:val="00A63561"/>
    <w:rsid w:val="00A637A5"/>
    <w:rsid w:val="00A63A63"/>
    <w:rsid w:val="00A63C84"/>
    <w:rsid w:val="00A63CAE"/>
    <w:rsid w:val="00A63DC8"/>
    <w:rsid w:val="00A63EF3"/>
    <w:rsid w:val="00A649C8"/>
    <w:rsid w:val="00A64CCF"/>
    <w:rsid w:val="00A653CE"/>
    <w:rsid w:val="00A65479"/>
    <w:rsid w:val="00A65E21"/>
    <w:rsid w:val="00A66D4D"/>
    <w:rsid w:val="00A66F53"/>
    <w:rsid w:val="00A67353"/>
    <w:rsid w:val="00A67686"/>
    <w:rsid w:val="00A679BB"/>
    <w:rsid w:val="00A67A76"/>
    <w:rsid w:val="00A67C06"/>
    <w:rsid w:val="00A706CA"/>
    <w:rsid w:val="00A70D68"/>
    <w:rsid w:val="00A71138"/>
    <w:rsid w:val="00A716B6"/>
    <w:rsid w:val="00A71D8C"/>
    <w:rsid w:val="00A71DA9"/>
    <w:rsid w:val="00A71F33"/>
    <w:rsid w:val="00A71F85"/>
    <w:rsid w:val="00A71FC0"/>
    <w:rsid w:val="00A722EC"/>
    <w:rsid w:val="00A72362"/>
    <w:rsid w:val="00A72516"/>
    <w:rsid w:val="00A727B9"/>
    <w:rsid w:val="00A72C9D"/>
    <w:rsid w:val="00A732EC"/>
    <w:rsid w:val="00A73502"/>
    <w:rsid w:val="00A73723"/>
    <w:rsid w:val="00A738F7"/>
    <w:rsid w:val="00A739EF"/>
    <w:rsid w:val="00A73AEF"/>
    <w:rsid w:val="00A73C8C"/>
    <w:rsid w:val="00A73DDF"/>
    <w:rsid w:val="00A742DC"/>
    <w:rsid w:val="00A74366"/>
    <w:rsid w:val="00A746AF"/>
    <w:rsid w:val="00A748EC"/>
    <w:rsid w:val="00A74B9F"/>
    <w:rsid w:val="00A74D1B"/>
    <w:rsid w:val="00A74F5E"/>
    <w:rsid w:val="00A75301"/>
    <w:rsid w:val="00A755AC"/>
    <w:rsid w:val="00A75CF8"/>
    <w:rsid w:val="00A75D13"/>
    <w:rsid w:val="00A760A2"/>
    <w:rsid w:val="00A764E1"/>
    <w:rsid w:val="00A7664F"/>
    <w:rsid w:val="00A7665D"/>
    <w:rsid w:val="00A76677"/>
    <w:rsid w:val="00A76771"/>
    <w:rsid w:val="00A76894"/>
    <w:rsid w:val="00A7690F"/>
    <w:rsid w:val="00A76D15"/>
    <w:rsid w:val="00A76F3F"/>
    <w:rsid w:val="00A772A9"/>
    <w:rsid w:val="00A77560"/>
    <w:rsid w:val="00A77F38"/>
    <w:rsid w:val="00A805DF"/>
    <w:rsid w:val="00A807A1"/>
    <w:rsid w:val="00A808B0"/>
    <w:rsid w:val="00A808F8"/>
    <w:rsid w:val="00A80D5B"/>
    <w:rsid w:val="00A8147D"/>
    <w:rsid w:val="00A81B24"/>
    <w:rsid w:val="00A81CA5"/>
    <w:rsid w:val="00A81D0E"/>
    <w:rsid w:val="00A81DB6"/>
    <w:rsid w:val="00A81F38"/>
    <w:rsid w:val="00A82072"/>
    <w:rsid w:val="00A82729"/>
    <w:rsid w:val="00A8286F"/>
    <w:rsid w:val="00A828E1"/>
    <w:rsid w:val="00A829DF"/>
    <w:rsid w:val="00A82C17"/>
    <w:rsid w:val="00A82C35"/>
    <w:rsid w:val="00A83189"/>
    <w:rsid w:val="00A833D6"/>
    <w:rsid w:val="00A833E8"/>
    <w:rsid w:val="00A83614"/>
    <w:rsid w:val="00A83879"/>
    <w:rsid w:val="00A839B5"/>
    <w:rsid w:val="00A83AAB"/>
    <w:rsid w:val="00A83CA9"/>
    <w:rsid w:val="00A83EAF"/>
    <w:rsid w:val="00A841C1"/>
    <w:rsid w:val="00A84978"/>
    <w:rsid w:val="00A84BBB"/>
    <w:rsid w:val="00A84C65"/>
    <w:rsid w:val="00A84E4C"/>
    <w:rsid w:val="00A850D3"/>
    <w:rsid w:val="00A850D8"/>
    <w:rsid w:val="00A85132"/>
    <w:rsid w:val="00A853DC"/>
    <w:rsid w:val="00A8543B"/>
    <w:rsid w:val="00A8596D"/>
    <w:rsid w:val="00A859DB"/>
    <w:rsid w:val="00A8619E"/>
    <w:rsid w:val="00A86414"/>
    <w:rsid w:val="00A867FA"/>
    <w:rsid w:val="00A868B3"/>
    <w:rsid w:val="00A86A90"/>
    <w:rsid w:val="00A872B1"/>
    <w:rsid w:val="00A87681"/>
    <w:rsid w:val="00A87889"/>
    <w:rsid w:val="00A87AFB"/>
    <w:rsid w:val="00A87D62"/>
    <w:rsid w:val="00A87DF8"/>
    <w:rsid w:val="00A9001C"/>
    <w:rsid w:val="00A904B9"/>
    <w:rsid w:val="00A905A0"/>
    <w:rsid w:val="00A9080F"/>
    <w:rsid w:val="00A909C4"/>
    <w:rsid w:val="00A909DF"/>
    <w:rsid w:val="00A90B67"/>
    <w:rsid w:val="00A90B9E"/>
    <w:rsid w:val="00A90D6D"/>
    <w:rsid w:val="00A91134"/>
    <w:rsid w:val="00A91258"/>
    <w:rsid w:val="00A915D9"/>
    <w:rsid w:val="00A91739"/>
    <w:rsid w:val="00A9188D"/>
    <w:rsid w:val="00A91906"/>
    <w:rsid w:val="00A91E02"/>
    <w:rsid w:val="00A91EC6"/>
    <w:rsid w:val="00A92ABC"/>
    <w:rsid w:val="00A92C11"/>
    <w:rsid w:val="00A92D0F"/>
    <w:rsid w:val="00A92FDC"/>
    <w:rsid w:val="00A93288"/>
    <w:rsid w:val="00A93309"/>
    <w:rsid w:val="00A93367"/>
    <w:rsid w:val="00A935A1"/>
    <w:rsid w:val="00A93A0B"/>
    <w:rsid w:val="00A93A1C"/>
    <w:rsid w:val="00A93A35"/>
    <w:rsid w:val="00A9406A"/>
    <w:rsid w:val="00A9427C"/>
    <w:rsid w:val="00A946D6"/>
    <w:rsid w:val="00A948FF"/>
    <w:rsid w:val="00A9499F"/>
    <w:rsid w:val="00A94A25"/>
    <w:rsid w:val="00A94D72"/>
    <w:rsid w:val="00A94F29"/>
    <w:rsid w:val="00A9526D"/>
    <w:rsid w:val="00A958A9"/>
    <w:rsid w:val="00A96104"/>
    <w:rsid w:val="00A965CB"/>
    <w:rsid w:val="00A967D6"/>
    <w:rsid w:val="00A96875"/>
    <w:rsid w:val="00A9696C"/>
    <w:rsid w:val="00A969DC"/>
    <w:rsid w:val="00A96C89"/>
    <w:rsid w:val="00A96F74"/>
    <w:rsid w:val="00A97446"/>
    <w:rsid w:val="00A97955"/>
    <w:rsid w:val="00A97A5C"/>
    <w:rsid w:val="00AA01BA"/>
    <w:rsid w:val="00AA0602"/>
    <w:rsid w:val="00AA08A7"/>
    <w:rsid w:val="00AA08BF"/>
    <w:rsid w:val="00AA0EC3"/>
    <w:rsid w:val="00AA122B"/>
    <w:rsid w:val="00AA1426"/>
    <w:rsid w:val="00AA1A1A"/>
    <w:rsid w:val="00AA1D5C"/>
    <w:rsid w:val="00AA1E24"/>
    <w:rsid w:val="00AA28D9"/>
    <w:rsid w:val="00AA2EC0"/>
    <w:rsid w:val="00AA307D"/>
    <w:rsid w:val="00AA3327"/>
    <w:rsid w:val="00AA388C"/>
    <w:rsid w:val="00AA3F7B"/>
    <w:rsid w:val="00AA43B3"/>
    <w:rsid w:val="00AA452B"/>
    <w:rsid w:val="00AA4539"/>
    <w:rsid w:val="00AA45BD"/>
    <w:rsid w:val="00AA508A"/>
    <w:rsid w:val="00AA5164"/>
    <w:rsid w:val="00AA51FB"/>
    <w:rsid w:val="00AA5243"/>
    <w:rsid w:val="00AA52DB"/>
    <w:rsid w:val="00AA5370"/>
    <w:rsid w:val="00AA57CE"/>
    <w:rsid w:val="00AA58A7"/>
    <w:rsid w:val="00AA5BA1"/>
    <w:rsid w:val="00AA5CA1"/>
    <w:rsid w:val="00AA64C6"/>
    <w:rsid w:val="00AA6505"/>
    <w:rsid w:val="00AA6596"/>
    <w:rsid w:val="00AA66D1"/>
    <w:rsid w:val="00AA69AD"/>
    <w:rsid w:val="00AA6C14"/>
    <w:rsid w:val="00AA6C91"/>
    <w:rsid w:val="00AA6CE1"/>
    <w:rsid w:val="00AA6DB5"/>
    <w:rsid w:val="00AA6E9A"/>
    <w:rsid w:val="00AA707C"/>
    <w:rsid w:val="00AA7310"/>
    <w:rsid w:val="00AA765C"/>
    <w:rsid w:val="00AA767C"/>
    <w:rsid w:val="00AA7871"/>
    <w:rsid w:val="00AA78AF"/>
    <w:rsid w:val="00AA7B68"/>
    <w:rsid w:val="00AA7E83"/>
    <w:rsid w:val="00AA7FB1"/>
    <w:rsid w:val="00AB019A"/>
    <w:rsid w:val="00AB0AAE"/>
    <w:rsid w:val="00AB0DF9"/>
    <w:rsid w:val="00AB1368"/>
    <w:rsid w:val="00AB13FB"/>
    <w:rsid w:val="00AB14AF"/>
    <w:rsid w:val="00AB161B"/>
    <w:rsid w:val="00AB1770"/>
    <w:rsid w:val="00AB17C1"/>
    <w:rsid w:val="00AB1E97"/>
    <w:rsid w:val="00AB2D44"/>
    <w:rsid w:val="00AB2ECB"/>
    <w:rsid w:val="00AB3310"/>
    <w:rsid w:val="00AB338B"/>
    <w:rsid w:val="00AB357D"/>
    <w:rsid w:val="00AB36B6"/>
    <w:rsid w:val="00AB36BB"/>
    <w:rsid w:val="00AB3B45"/>
    <w:rsid w:val="00AB3C2F"/>
    <w:rsid w:val="00AB3E5D"/>
    <w:rsid w:val="00AB3FE5"/>
    <w:rsid w:val="00AB413C"/>
    <w:rsid w:val="00AB42D3"/>
    <w:rsid w:val="00AB4C59"/>
    <w:rsid w:val="00AB4DE1"/>
    <w:rsid w:val="00AB5430"/>
    <w:rsid w:val="00AB547F"/>
    <w:rsid w:val="00AB57DE"/>
    <w:rsid w:val="00AB586D"/>
    <w:rsid w:val="00AB5964"/>
    <w:rsid w:val="00AB59CD"/>
    <w:rsid w:val="00AB5EEE"/>
    <w:rsid w:val="00AB5F25"/>
    <w:rsid w:val="00AB5F4A"/>
    <w:rsid w:val="00AB63DD"/>
    <w:rsid w:val="00AB6570"/>
    <w:rsid w:val="00AB666E"/>
    <w:rsid w:val="00AB6E0C"/>
    <w:rsid w:val="00AB7078"/>
    <w:rsid w:val="00AB7373"/>
    <w:rsid w:val="00AC059F"/>
    <w:rsid w:val="00AC0657"/>
    <w:rsid w:val="00AC092B"/>
    <w:rsid w:val="00AC0B97"/>
    <w:rsid w:val="00AC0C62"/>
    <w:rsid w:val="00AC1311"/>
    <w:rsid w:val="00AC1349"/>
    <w:rsid w:val="00AC13DE"/>
    <w:rsid w:val="00AC1508"/>
    <w:rsid w:val="00AC202F"/>
    <w:rsid w:val="00AC236B"/>
    <w:rsid w:val="00AC23A4"/>
    <w:rsid w:val="00AC248A"/>
    <w:rsid w:val="00AC2656"/>
    <w:rsid w:val="00AC2730"/>
    <w:rsid w:val="00AC2BAB"/>
    <w:rsid w:val="00AC2D0D"/>
    <w:rsid w:val="00AC2F61"/>
    <w:rsid w:val="00AC3015"/>
    <w:rsid w:val="00AC38A6"/>
    <w:rsid w:val="00AC3B19"/>
    <w:rsid w:val="00AC3F5C"/>
    <w:rsid w:val="00AC404A"/>
    <w:rsid w:val="00AC409C"/>
    <w:rsid w:val="00AC42B8"/>
    <w:rsid w:val="00AC4602"/>
    <w:rsid w:val="00AC465B"/>
    <w:rsid w:val="00AC491D"/>
    <w:rsid w:val="00AC4ABC"/>
    <w:rsid w:val="00AC4B61"/>
    <w:rsid w:val="00AC4DF1"/>
    <w:rsid w:val="00AC5BCF"/>
    <w:rsid w:val="00AC5E2B"/>
    <w:rsid w:val="00AC5FDC"/>
    <w:rsid w:val="00AC64FE"/>
    <w:rsid w:val="00AC6632"/>
    <w:rsid w:val="00AC668F"/>
    <w:rsid w:val="00AC66CE"/>
    <w:rsid w:val="00AC67A1"/>
    <w:rsid w:val="00AC6926"/>
    <w:rsid w:val="00AC6B30"/>
    <w:rsid w:val="00AC6B3E"/>
    <w:rsid w:val="00AC77B3"/>
    <w:rsid w:val="00AC7879"/>
    <w:rsid w:val="00AC7CAD"/>
    <w:rsid w:val="00AC7FE6"/>
    <w:rsid w:val="00AD045E"/>
    <w:rsid w:val="00AD04D9"/>
    <w:rsid w:val="00AD097E"/>
    <w:rsid w:val="00AD09E0"/>
    <w:rsid w:val="00AD0D8A"/>
    <w:rsid w:val="00AD0E67"/>
    <w:rsid w:val="00AD0F09"/>
    <w:rsid w:val="00AD1070"/>
    <w:rsid w:val="00AD184D"/>
    <w:rsid w:val="00AD1B65"/>
    <w:rsid w:val="00AD1D85"/>
    <w:rsid w:val="00AD390B"/>
    <w:rsid w:val="00AD3941"/>
    <w:rsid w:val="00AD399E"/>
    <w:rsid w:val="00AD3B6E"/>
    <w:rsid w:val="00AD3E36"/>
    <w:rsid w:val="00AD3E83"/>
    <w:rsid w:val="00AD4AD4"/>
    <w:rsid w:val="00AD4B48"/>
    <w:rsid w:val="00AD5006"/>
    <w:rsid w:val="00AD51EA"/>
    <w:rsid w:val="00AD55C0"/>
    <w:rsid w:val="00AD576A"/>
    <w:rsid w:val="00AD59BF"/>
    <w:rsid w:val="00AD61B4"/>
    <w:rsid w:val="00AD682B"/>
    <w:rsid w:val="00AD6A7D"/>
    <w:rsid w:val="00AD6CC8"/>
    <w:rsid w:val="00AD7020"/>
    <w:rsid w:val="00AD71AD"/>
    <w:rsid w:val="00AD7383"/>
    <w:rsid w:val="00AD7501"/>
    <w:rsid w:val="00AD7743"/>
    <w:rsid w:val="00AD778D"/>
    <w:rsid w:val="00AD7B79"/>
    <w:rsid w:val="00AE0734"/>
    <w:rsid w:val="00AE098C"/>
    <w:rsid w:val="00AE0C1B"/>
    <w:rsid w:val="00AE12B6"/>
    <w:rsid w:val="00AE1491"/>
    <w:rsid w:val="00AE14D4"/>
    <w:rsid w:val="00AE17B4"/>
    <w:rsid w:val="00AE182C"/>
    <w:rsid w:val="00AE1ACA"/>
    <w:rsid w:val="00AE1F73"/>
    <w:rsid w:val="00AE1F8C"/>
    <w:rsid w:val="00AE2289"/>
    <w:rsid w:val="00AE23F3"/>
    <w:rsid w:val="00AE254B"/>
    <w:rsid w:val="00AE2C0F"/>
    <w:rsid w:val="00AE2D76"/>
    <w:rsid w:val="00AE2DD1"/>
    <w:rsid w:val="00AE318C"/>
    <w:rsid w:val="00AE34A0"/>
    <w:rsid w:val="00AE39B4"/>
    <w:rsid w:val="00AE3E9B"/>
    <w:rsid w:val="00AE421C"/>
    <w:rsid w:val="00AE4589"/>
    <w:rsid w:val="00AE45AF"/>
    <w:rsid w:val="00AE483D"/>
    <w:rsid w:val="00AE49D6"/>
    <w:rsid w:val="00AE4A16"/>
    <w:rsid w:val="00AE5455"/>
    <w:rsid w:val="00AE56B4"/>
    <w:rsid w:val="00AE575C"/>
    <w:rsid w:val="00AE5955"/>
    <w:rsid w:val="00AE6570"/>
    <w:rsid w:val="00AE68C3"/>
    <w:rsid w:val="00AE6A95"/>
    <w:rsid w:val="00AE6F5F"/>
    <w:rsid w:val="00AF02B5"/>
    <w:rsid w:val="00AF072F"/>
    <w:rsid w:val="00AF0908"/>
    <w:rsid w:val="00AF0A67"/>
    <w:rsid w:val="00AF114F"/>
    <w:rsid w:val="00AF1166"/>
    <w:rsid w:val="00AF2601"/>
    <w:rsid w:val="00AF29A0"/>
    <w:rsid w:val="00AF3031"/>
    <w:rsid w:val="00AF323C"/>
    <w:rsid w:val="00AF342E"/>
    <w:rsid w:val="00AF3514"/>
    <w:rsid w:val="00AF3953"/>
    <w:rsid w:val="00AF3B91"/>
    <w:rsid w:val="00AF420A"/>
    <w:rsid w:val="00AF4385"/>
    <w:rsid w:val="00AF46B0"/>
    <w:rsid w:val="00AF4846"/>
    <w:rsid w:val="00AF4899"/>
    <w:rsid w:val="00AF4AF1"/>
    <w:rsid w:val="00AF4B41"/>
    <w:rsid w:val="00AF4D53"/>
    <w:rsid w:val="00AF4DA5"/>
    <w:rsid w:val="00AF4F7A"/>
    <w:rsid w:val="00AF5048"/>
    <w:rsid w:val="00AF50D1"/>
    <w:rsid w:val="00AF50D5"/>
    <w:rsid w:val="00AF51B8"/>
    <w:rsid w:val="00AF53FE"/>
    <w:rsid w:val="00AF54E7"/>
    <w:rsid w:val="00AF5584"/>
    <w:rsid w:val="00AF56AF"/>
    <w:rsid w:val="00AF5A52"/>
    <w:rsid w:val="00AF5C5C"/>
    <w:rsid w:val="00AF5E5E"/>
    <w:rsid w:val="00AF6074"/>
    <w:rsid w:val="00AF6322"/>
    <w:rsid w:val="00AF6345"/>
    <w:rsid w:val="00AF698B"/>
    <w:rsid w:val="00AF6AF3"/>
    <w:rsid w:val="00AF7AC5"/>
    <w:rsid w:val="00AF7CCE"/>
    <w:rsid w:val="00AF7D80"/>
    <w:rsid w:val="00AF7DF7"/>
    <w:rsid w:val="00B00725"/>
    <w:rsid w:val="00B00C13"/>
    <w:rsid w:val="00B00C67"/>
    <w:rsid w:val="00B01121"/>
    <w:rsid w:val="00B0116E"/>
    <w:rsid w:val="00B011C2"/>
    <w:rsid w:val="00B012CD"/>
    <w:rsid w:val="00B01966"/>
    <w:rsid w:val="00B019A6"/>
    <w:rsid w:val="00B01D0A"/>
    <w:rsid w:val="00B01F41"/>
    <w:rsid w:val="00B02126"/>
    <w:rsid w:val="00B02275"/>
    <w:rsid w:val="00B022DB"/>
    <w:rsid w:val="00B02A33"/>
    <w:rsid w:val="00B02B08"/>
    <w:rsid w:val="00B02E61"/>
    <w:rsid w:val="00B030E0"/>
    <w:rsid w:val="00B03393"/>
    <w:rsid w:val="00B03433"/>
    <w:rsid w:val="00B037E6"/>
    <w:rsid w:val="00B03C4E"/>
    <w:rsid w:val="00B03D14"/>
    <w:rsid w:val="00B040F9"/>
    <w:rsid w:val="00B044C9"/>
    <w:rsid w:val="00B0524F"/>
    <w:rsid w:val="00B05686"/>
    <w:rsid w:val="00B05939"/>
    <w:rsid w:val="00B05B98"/>
    <w:rsid w:val="00B05FF7"/>
    <w:rsid w:val="00B06444"/>
    <w:rsid w:val="00B065E9"/>
    <w:rsid w:val="00B06664"/>
    <w:rsid w:val="00B069F6"/>
    <w:rsid w:val="00B06B06"/>
    <w:rsid w:val="00B06C89"/>
    <w:rsid w:val="00B06E31"/>
    <w:rsid w:val="00B07152"/>
    <w:rsid w:val="00B07182"/>
    <w:rsid w:val="00B07645"/>
    <w:rsid w:val="00B07683"/>
    <w:rsid w:val="00B07B11"/>
    <w:rsid w:val="00B07BD6"/>
    <w:rsid w:val="00B07DFF"/>
    <w:rsid w:val="00B1004D"/>
    <w:rsid w:val="00B10121"/>
    <w:rsid w:val="00B109E5"/>
    <w:rsid w:val="00B10B81"/>
    <w:rsid w:val="00B10D10"/>
    <w:rsid w:val="00B10E86"/>
    <w:rsid w:val="00B111A4"/>
    <w:rsid w:val="00B117D4"/>
    <w:rsid w:val="00B11A7A"/>
    <w:rsid w:val="00B11AE7"/>
    <w:rsid w:val="00B11E91"/>
    <w:rsid w:val="00B120E8"/>
    <w:rsid w:val="00B12390"/>
    <w:rsid w:val="00B12539"/>
    <w:rsid w:val="00B126E0"/>
    <w:rsid w:val="00B12878"/>
    <w:rsid w:val="00B12A4A"/>
    <w:rsid w:val="00B12B89"/>
    <w:rsid w:val="00B132BF"/>
    <w:rsid w:val="00B13708"/>
    <w:rsid w:val="00B1371D"/>
    <w:rsid w:val="00B13AF4"/>
    <w:rsid w:val="00B13BB3"/>
    <w:rsid w:val="00B13E28"/>
    <w:rsid w:val="00B14082"/>
    <w:rsid w:val="00B1412D"/>
    <w:rsid w:val="00B143AE"/>
    <w:rsid w:val="00B143D2"/>
    <w:rsid w:val="00B14405"/>
    <w:rsid w:val="00B145D5"/>
    <w:rsid w:val="00B14B2F"/>
    <w:rsid w:val="00B14B9D"/>
    <w:rsid w:val="00B150B8"/>
    <w:rsid w:val="00B15500"/>
    <w:rsid w:val="00B15926"/>
    <w:rsid w:val="00B160A4"/>
    <w:rsid w:val="00B16467"/>
    <w:rsid w:val="00B16488"/>
    <w:rsid w:val="00B16A6B"/>
    <w:rsid w:val="00B17577"/>
    <w:rsid w:val="00B17D70"/>
    <w:rsid w:val="00B17ED8"/>
    <w:rsid w:val="00B17F96"/>
    <w:rsid w:val="00B202CE"/>
    <w:rsid w:val="00B202E1"/>
    <w:rsid w:val="00B20413"/>
    <w:rsid w:val="00B204B8"/>
    <w:rsid w:val="00B20892"/>
    <w:rsid w:val="00B20964"/>
    <w:rsid w:val="00B20C0B"/>
    <w:rsid w:val="00B213EB"/>
    <w:rsid w:val="00B214EF"/>
    <w:rsid w:val="00B215FB"/>
    <w:rsid w:val="00B21777"/>
    <w:rsid w:val="00B217BD"/>
    <w:rsid w:val="00B219D6"/>
    <w:rsid w:val="00B21B8D"/>
    <w:rsid w:val="00B21C95"/>
    <w:rsid w:val="00B2225A"/>
    <w:rsid w:val="00B222E5"/>
    <w:rsid w:val="00B222FE"/>
    <w:rsid w:val="00B2257C"/>
    <w:rsid w:val="00B227BA"/>
    <w:rsid w:val="00B23B73"/>
    <w:rsid w:val="00B244E8"/>
    <w:rsid w:val="00B24C2D"/>
    <w:rsid w:val="00B24C50"/>
    <w:rsid w:val="00B24D84"/>
    <w:rsid w:val="00B25476"/>
    <w:rsid w:val="00B2582D"/>
    <w:rsid w:val="00B258B9"/>
    <w:rsid w:val="00B25966"/>
    <w:rsid w:val="00B25C02"/>
    <w:rsid w:val="00B25D06"/>
    <w:rsid w:val="00B25F19"/>
    <w:rsid w:val="00B2672C"/>
    <w:rsid w:val="00B26852"/>
    <w:rsid w:val="00B2686D"/>
    <w:rsid w:val="00B2789D"/>
    <w:rsid w:val="00B2797A"/>
    <w:rsid w:val="00B27F89"/>
    <w:rsid w:val="00B302B6"/>
    <w:rsid w:val="00B30467"/>
    <w:rsid w:val="00B3077B"/>
    <w:rsid w:val="00B30910"/>
    <w:rsid w:val="00B30BEA"/>
    <w:rsid w:val="00B30C5C"/>
    <w:rsid w:val="00B30E35"/>
    <w:rsid w:val="00B31647"/>
    <w:rsid w:val="00B31BF8"/>
    <w:rsid w:val="00B31E2F"/>
    <w:rsid w:val="00B322F9"/>
    <w:rsid w:val="00B32555"/>
    <w:rsid w:val="00B32915"/>
    <w:rsid w:val="00B32B97"/>
    <w:rsid w:val="00B333E9"/>
    <w:rsid w:val="00B335F2"/>
    <w:rsid w:val="00B337F2"/>
    <w:rsid w:val="00B33878"/>
    <w:rsid w:val="00B339BE"/>
    <w:rsid w:val="00B33A23"/>
    <w:rsid w:val="00B33B7A"/>
    <w:rsid w:val="00B342A8"/>
    <w:rsid w:val="00B3434F"/>
    <w:rsid w:val="00B3485C"/>
    <w:rsid w:val="00B35047"/>
    <w:rsid w:val="00B3504F"/>
    <w:rsid w:val="00B354E3"/>
    <w:rsid w:val="00B3587E"/>
    <w:rsid w:val="00B358A9"/>
    <w:rsid w:val="00B359DC"/>
    <w:rsid w:val="00B35CDD"/>
    <w:rsid w:val="00B36114"/>
    <w:rsid w:val="00B3638B"/>
    <w:rsid w:val="00B365EF"/>
    <w:rsid w:val="00B369F6"/>
    <w:rsid w:val="00B36C87"/>
    <w:rsid w:val="00B37179"/>
    <w:rsid w:val="00B37211"/>
    <w:rsid w:val="00B3775B"/>
    <w:rsid w:val="00B37926"/>
    <w:rsid w:val="00B37FC0"/>
    <w:rsid w:val="00B40181"/>
    <w:rsid w:val="00B40235"/>
    <w:rsid w:val="00B405DF"/>
    <w:rsid w:val="00B408ED"/>
    <w:rsid w:val="00B40E4F"/>
    <w:rsid w:val="00B4114F"/>
    <w:rsid w:val="00B411D8"/>
    <w:rsid w:val="00B41268"/>
    <w:rsid w:val="00B412C0"/>
    <w:rsid w:val="00B417DE"/>
    <w:rsid w:val="00B41B11"/>
    <w:rsid w:val="00B421B8"/>
    <w:rsid w:val="00B42625"/>
    <w:rsid w:val="00B42A0D"/>
    <w:rsid w:val="00B42B83"/>
    <w:rsid w:val="00B42D50"/>
    <w:rsid w:val="00B430B5"/>
    <w:rsid w:val="00B431DF"/>
    <w:rsid w:val="00B4463A"/>
    <w:rsid w:val="00B447A4"/>
    <w:rsid w:val="00B448C1"/>
    <w:rsid w:val="00B44A64"/>
    <w:rsid w:val="00B44B6B"/>
    <w:rsid w:val="00B44DC2"/>
    <w:rsid w:val="00B44FBD"/>
    <w:rsid w:val="00B45248"/>
    <w:rsid w:val="00B456D0"/>
    <w:rsid w:val="00B45988"/>
    <w:rsid w:val="00B45A56"/>
    <w:rsid w:val="00B45BC3"/>
    <w:rsid w:val="00B45ED4"/>
    <w:rsid w:val="00B4652E"/>
    <w:rsid w:val="00B4653B"/>
    <w:rsid w:val="00B4663E"/>
    <w:rsid w:val="00B46923"/>
    <w:rsid w:val="00B47647"/>
    <w:rsid w:val="00B476FC"/>
    <w:rsid w:val="00B47C31"/>
    <w:rsid w:val="00B47C96"/>
    <w:rsid w:val="00B501D6"/>
    <w:rsid w:val="00B502D8"/>
    <w:rsid w:val="00B50824"/>
    <w:rsid w:val="00B50AD6"/>
    <w:rsid w:val="00B50B45"/>
    <w:rsid w:val="00B51005"/>
    <w:rsid w:val="00B513DF"/>
    <w:rsid w:val="00B51431"/>
    <w:rsid w:val="00B51CAC"/>
    <w:rsid w:val="00B5231B"/>
    <w:rsid w:val="00B5258C"/>
    <w:rsid w:val="00B52A5C"/>
    <w:rsid w:val="00B52C4C"/>
    <w:rsid w:val="00B52FFA"/>
    <w:rsid w:val="00B5310C"/>
    <w:rsid w:val="00B539AE"/>
    <w:rsid w:val="00B53C25"/>
    <w:rsid w:val="00B53E71"/>
    <w:rsid w:val="00B53ED6"/>
    <w:rsid w:val="00B54769"/>
    <w:rsid w:val="00B550A8"/>
    <w:rsid w:val="00B555AF"/>
    <w:rsid w:val="00B555F7"/>
    <w:rsid w:val="00B55645"/>
    <w:rsid w:val="00B55EE8"/>
    <w:rsid w:val="00B5610B"/>
    <w:rsid w:val="00B56A28"/>
    <w:rsid w:val="00B56E62"/>
    <w:rsid w:val="00B57216"/>
    <w:rsid w:val="00B57819"/>
    <w:rsid w:val="00B57981"/>
    <w:rsid w:val="00B57BE8"/>
    <w:rsid w:val="00B57D2E"/>
    <w:rsid w:val="00B6016B"/>
    <w:rsid w:val="00B60457"/>
    <w:rsid w:val="00B60BE4"/>
    <w:rsid w:val="00B60CC9"/>
    <w:rsid w:val="00B60E28"/>
    <w:rsid w:val="00B6107E"/>
    <w:rsid w:val="00B61143"/>
    <w:rsid w:val="00B61975"/>
    <w:rsid w:val="00B619C4"/>
    <w:rsid w:val="00B61DDA"/>
    <w:rsid w:val="00B61ED3"/>
    <w:rsid w:val="00B625E8"/>
    <w:rsid w:val="00B62BB9"/>
    <w:rsid w:val="00B62F2D"/>
    <w:rsid w:val="00B631F7"/>
    <w:rsid w:val="00B63679"/>
    <w:rsid w:val="00B63B4F"/>
    <w:rsid w:val="00B64043"/>
    <w:rsid w:val="00B6424E"/>
    <w:rsid w:val="00B643B0"/>
    <w:rsid w:val="00B64C64"/>
    <w:rsid w:val="00B65104"/>
    <w:rsid w:val="00B652CD"/>
    <w:rsid w:val="00B65304"/>
    <w:rsid w:val="00B655FE"/>
    <w:rsid w:val="00B65B00"/>
    <w:rsid w:val="00B65D65"/>
    <w:rsid w:val="00B66110"/>
    <w:rsid w:val="00B6642D"/>
    <w:rsid w:val="00B665D1"/>
    <w:rsid w:val="00B6696E"/>
    <w:rsid w:val="00B66973"/>
    <w:rsid w:val="00B66AF4"/>
    <w:rsid w:val="00B66D91"/>
    <w:rsid w:val="00B66DDB"/>
    <w:rsid w:val="00B672A7"/>
    <w:rsid w:val="00B67835"/>
    <w:rsid w:val="00B67960"/>
    <w:rsid w:val="00B679F0"/>
    <w:rsid w:val="00B67A07"/>
    <w:rsid w:val="00B67A84"/>
    <w:rsid w:val="00B67B67"/>
    <w:rsid w:val="00B703D6"/>
    <w:rsid w:val="00B7043A"/>
    <w:rsid w:val="00B70E1C"/>
    <w:rsid w:val="00B7130A"/>
    <w:rsid w:val="00B713B7"/>
    <w:rsid w:val="00B71CB4"/>
    <w:rsid w:val="00B72726"/>
    <w:rsid w:val="00B72793"/>
    <w:rsid w:val="00B729A0"/>
    <w:rsid w:val="00B72C1F"/>
    <w:rsid w:val="00B732CB"/>
    <w:rsid w:val="00B73951"/>
    <w:rsid w:val="00B73D55"/>
    <w:rsid w:val="00B73FA3"/>
    <w:rsid w:val="00B73FD0"/>
    <w:rsid w:val="00B7435E"/>
    <w:rsid w:val="00B74614"/>
    <w:rsid w:val="00B74E01"/>
    <w:rsid w:val="00B74E89"/>
    <w:rsid w:val="00B74F50"/>
    <w:rsid w:val="00B75A9D"/>
    <w:rsid w:val="00B7640D"/>
    <w:rsid w:val="00B76702"/>
    <w:rsid w:val="00B76871"/>
    <w:rsid w:val="00B76CA3"/>
    <w:rsid w:val="00B7757E"/>
    <w:rsid w:val="00B77D5F"/>
    <w:rsid w:val="00B80213"/>
    <w:rsid w:val="00B8040A"/>
    <w:rsid w:val="00B80415"/>
    <w:rsid w:val="00B8046B"/>
    <w:rsid w:val="00B804FE"/>
    <w:rsid w:val="00B805C7"/>
    <w:rsid w:val="00B806B8"/>
    <w:rsid w:val="00B80B5C"/>
    <w:rsid w:val="00B80B64"/>
    <w:rsid w:val="00B80D2E"/>
    <w:rsid w:val="00B80DD0"/>
    <w:rsid w:val="00B80E9F"/>
    <w:rsid w:val="00B80F92"/>
    <w:rsid w:val="00B81019"/>
    <w:rsid w:val="00B81177"/>
    <w:rsid w:val="00B81243"/>
    <w:rsid w:val="00B81443"/>
    <w:rsid w:val="00B8155E"/>
    <w:rsid w:val="00B8165F"/>
    <w:rsid w:val="00B81E81"/>
    <w:rsid w:val="00B82176"/>
    <w:rsid w:val="00B8223A"/>
    <w:rsid w:val="00B827EA"/>
    <w:rsid w:val="00B82DD6"/>
    <w:rsid w:val="00B8318B"/>
    <w:rsid w:val="00B833B7"/>
    <w:rsid w:val="00B83CAC"/>
    <w:rsid w:val="00B83CEE"/>
    <w:rsid w:val="00B8442C"/>
    <w:rsid w:val="00B844FA"/>
    <w:rsid w:val="00B8467F"/>
    <w:rsid w:val="00B8474E"/>
    <w:rsid w:val="00B850C3"/>
    <w:rsid w:val="00B8524E"/>
    <w:rsid w:val="00B854A7"/>
    <w:rsid w:val="00B85920"/>
    <w:rsid w:val="00B85D6F"/>
    <w:rsid w:val="00B85FA8"/>
    <w:rsid w:val="00B8615F"/>
    <w:rsid w:val="00B865B6"/>
    <w:rsid w:val="00B866AD"/>
    <w:rsid w:val="00B8731E"/>
    <w:rsid w:val="00B87489"/>
    <w:rsid w:val="00B87560"/>
    <w:rsid w:val="00B87589"/>
    <w:rsid w:val="00B87A82"/>
    <w:rsid w:val="00B87B9D"/>
    <w:rsid w:val="00B87BE6"/>
    <w:rsid w:val="00B87CCB"/>
    <w:rsid w:val="00B9019D"/>
    <w:rsid w:val="00B90329"/>
    <w:rsid w:val="00B90481"/>
    <w:rsid w:val="00B9066B"/>
    <w:rsid w:val="00B90676"/>
    <w:rsid w:val="00B90852"/>
    <w:rsid w:val="00B90A5F"/>
    <w:rsid w:val="00B90B2E"/>
    <w:rsid w:val="00B90D10"/>
    <w:rsid w:val="00B91166"/>
    <w:rsid w:val="00B9139B"/>
    <w:rsid w:val="00B91711"/>
    <w:rsid w:val="00B91A3E"/>
    <w:rsid w:val="00B91CF5"/>
    <w:rsid w:val="00B91DAB"/>
    <w:rsid w:val="00B91DCD"/>
    <w:rsid w:val="00B91ED2"/>
    <w:rsid w:val="00B9214E"/>
    <w:rsid w:val="00B922CC"/>
    <w:rsid w:val="00B93290"/>
    <w:rsid w:val="00B93536"/>
    <w:rsid w:val="00B936AE"/>
    <w:rsid w:val="00B936F0"/>
    <w:rsid w:val="00B9375B"/>
    <w:rsid w:val="00B93B23"/>
    <w:rsid w:val="00B93E50"/>
    <w:rsid w:val="00B940F0"/>
    <w:rsid w:val="00B94403"/>
    <w:rsid w:val="00B946AF"/>
    <w:rsid w:val="00B9478B"/>
    <w:rsid w:val="00B949F6"/>
    <w:rsid w:val="00B94CF7"/>
    <w:rsid w:val="00B95308"/>
    <w:rsid w:val="00B95677"/>
    <w:rsid w:val="00B965D0"/>
    <w:rsid w:val="00B96682"/>
    <w:rsid w:val="00B967DD"/>
    <w:rsid w:val="00B96A60"/>
    <w:rsid w:val="00B96B5E"/>
    <w:rsid w:val="00B96D4B"/>
    <w:rsid w:val="00B973B8"/>
    <w:rsid w:val="00B97EFF"/>
    <w:rsid w:val="00BA00AC"/>
    <w:rsid w:val="00BA0186"/>
    <w:rsid w:val="00BA04D7"/>
    <w:rsid w:val="00BA0987"/>
    <w:rsid w:val="00BA0A5B"/>
    <w:rsid w:val="00BA0A7E"/>
    <w:rsid w:val="00BA0F16"/>
    <w:rsid w:val="00BA1323"/>
    <w:rsid w:val="00BA133D"/>
    <w:rsid w:val="00BA1398"/>
    <w:rsid w:val="00BA145F"/>
    <w:rsid w:val="00BA1A1C"/>
    <w:rsid w:val="00BA1DEA"/>
    <w:rsid w:val="00BA23B9"/>
    <w:rsid w:val="00BA2561"/>
    <w:rsid w:val="00BA2A6B"/>
    <w:rsid w:val="00BA2B56"/>
    <w:rsid w:val="00BA35FA"/>
    <w:rsid w:val="00BA3B1E"/>
    <w:rsid w:val="00BA3E68"/>
    <w:rsid w:val="00BA420C"/>
    <w:rsid w:val="00BA4270"/>
    <w:rsid w:val="00BA4AA9"/>
    <w:rsid w:val="00BA4CB3"/>
    <w:rsid w:val="00BA4D54"/>
    <w:rsid w:val="00BA4E73"/>
    <w:rsid w:val="00BA4ED8"/>
    <w:rsid w:val="00BA4FB7"/>
    <w:rsid w:val="00BA517E"/>
    <w:rsid w:val="00BA5264"/>
    <w:rsid w:val="00BA584C"/>
    <w:rsid w:val="00BA5EB7"/>
    <w:rsid w:val="00BA6A2E"/>
    <w:rsid w:val="00BA6E51"/>
    <w:rsid w:val="00BA6F71"/>
    <w:rsid w:val="00BB00EC"/>
    <w:rsid w:val="00BB0139"/>
    <w:rsid w:val="00BB07C5"/>
    <w:rsid w:val="00BB0867"/>
    <w:rsid w:val="00BB0A9C"/>
    <w:rsid w:val="00BB12A3"/>
    <w:rsid w:val="00BB1371"/>
    <w:rsid w:val="00BB13DB"/>
    <w:rsid w:val="00BB149D"/>
    <w:rsid w:val="00BB17F9"/>
    <w:rsid w:val="00BB2242"/>
    <w:rsid w:val="00BB22CB"/>
    <w:rsid w:val="00BB24CF"/>
    <w:rsid w:val="00BB29AC"/>
    <w:rsid w:val="00BB302F"/>
    <w:rsid w:val="00BB315A"/>
    <w:rsid w:val="00BB32AF"/>
    <w:rsid w:val="00BB34CF"/>
    <w:rsid w:val="00BB35E9"/>
    <w:rsid w:val="00BB3729"/>
    <w:rsid w:val="00BB379B"/>
    <w:rsid w:val="00BB3A0D"/>
    <w:rsid w:val="00BB3A68"/>
    <w:rsid w:val="00BB3B9D"/>
    <w:rsid w:val="00BB3E2D"/>
    <w:rsid w:val="00BB3EFA"/>
    <w:rsid w:val="00BB4220"/>
    <w:rsid w:val="00BB4619"/>
    <w:rsid w:val="00BB49B7"/>
    <w:rsid w:val="00BB4C17"/>
    <w:rsid w:val="00BB4C24"/>
    <w:rsid w:val="00BB4C53"/>
    <w:rsid w:val="00BB5118"/>
    <w:rsid w:val="00BB558E"/>
    <w:rsid w:val="00BB5652"/>
    <w:rsid w:val="00BB569C"/>
    <w:rsid w:val="00BB56F3"/>
    <w:rsid w:val="00BB58B4"/>
    <w:rsid w:val="00BB5B15"/>
    <w:rsid w:val="00BB5C9D"/>
    <w:rsid w:val="00BB5E2E"/>
    <w:rsid w:val="00BB5FB6"/>
    <w:rsid w:val="00BB62A5"/>
    <w:rsid w:val="00BB6364"/>
    <w:rsid w:val="00BB66B4"/>
    <w:rsid w:val="00BB672B"/>
    <w:rsid w:val="00BB6955"/>
    <w:rsid w:val="00BB6EA4"/>
    <w:rsid w:val="00BB7035"/>
    <w:rsid w:val="00BB723D"/>
    <w:rsid w:val="00BB74B2"/>
    <w:rsid w:val="00BB7C9C"/>
    <w:rsid w:val="00BC0637"/>
    <w:rsid w:val="00BC08A9"/>
    <w:rsid w:val="00BC0BEE"/>
    <w:rsid w:val="00BC0FB1"/>
    <w:rsid w:val="00BC1040"/>
    <w:rsid w:val="00BC14DC"/>
    <w:rsid w:val="00BC1BC7"/>
    <w:rsid w:val="00BC2057"/>
    <w:rsid w:val="00BC2381"/>
    <w:rsid w:val="00BC267D"/>
    <w:rsid w:val="00BC26F6"/>
    <w:rsid w:val="00BC2F13"/>
    <w:rsid w:val="00BC325C"/>
    <w:rsid w:val="00BC34B2"/>
    <w:rsid w:val="00BC3B59"/>
    <w:rsid w:val="00BC3D5A"/>
    <w:rsid w:val="00BC3FE9"/>
    <w:rsid w:val="00BC40A5"/>
    <w:rsid w:val="00BC42F2"/>
    <w:rsid w:val="00BC4360"/>
    <w:rsid w:val="00BC45A4"/>
    <w:rsid w:val="00BC4A47"/>
    <w:rsid w:val="00BC4AB1"/>
    <w:rsid w:val="00BC4EB4"/>
    <w:rsid w:val="00BC4FE7"/>
    <w:rsid w:val="00BC50AF"/>
    <w:rsid w:val="00BC52FB"/>
    <w:rsid w:val="00BC53C7"/>
    <w:rsid w:val="00BC53D8"/>
    <w:rsid w:val="00BC55CC"/>
    <w:rsid w:val="00BC58CF"/>
    <w:rsid w:val="00BC5AD5"/>
    <w:rsid w:val="00BC5AD6"/>
    <w:rsid w:val="00BC5C28"/>
    <w:rsid w:val="00BC5F8F"/>
    <w:rsid w:val="00BC636D"/>
    <w:rsid w:val="00BC6388"/>
    <w:rsid w:val="00BC6768"/>
    <w:rsid w:val="00BC676B"/>
    <w:rsid w:val="00BC69AC"/>
    <w:rsid w:val="00BC6B10"/>
    <w:rsid w:val="00BC6EA5"/>
    <w:rsid w:val="00BC7440"/>
    <w:rsid w:val="00BC7592"/>
    <w:rsid w:val="00BC7832"/>
    <w:rsid w:val="00BC7B89"/>
    <w:rsid w:val="00BD05FB"/>
    <w:rsid w:val="00BD069A"/>
    <w:rsid w:val="00BD06E9"/>
    <w:rsid w:val="00BD0983"/>
    <w:rsid w:val="00BD158D"/>
    <w:rsid w:val="00BD15CA"/>
    <w:rsid w:val="00BD196F"/>
    <w:rsid w:val="00BD20B1"/>
    <w:rsid w:val="00BD228E"/>
    <w:rsid w:val="00BD22D8"/>
    <w:rsid w:val="00BD24AC"/>
    <w:rsid w:val="00BD25E7"/>
    <w:rsid w:val="00BD2CC2"/>
    <w:rsid w:val="00BD2CC7"/>
    <w:rsid w:val="00BD2CF0"/>
    <w:rsid w:val="00BD2F6D"/>
    <w:rsid w:val="00BD3326"/>
    <w:rsid w:val="00BD3446"/>
    <w:rsid w:val="00BD360E"/>
    <w:rsid w:val="00BD3DA1"/>
    <w:rsid w:val="00BD4252"/>
    <w:rsid w:val="00BD43FF"/>
    <w:rsid w:val="00BD45ED"/>
    <w:rsid w:val="00BD4FC9"/>
    <w:rsid w:val="00BD5481"/>
    <w:rsid w:val="00BD57FB"/>
    <w:rsid w:val="00BD5D83"/>
    <w:rsid w:val="00BD5E7B"/>
    <w:rsid w:val="00BD5FA5"/>
    <w:rsid w:val="00BD6227"/>
    <w:rsid w:val="00BD66A3"/>
    <w:rsid w:val="00BD69B0"/>
    <w:rsid w:val="00BD69B4"/>
    <w:rsid w:val="00BD6AC5"/>
    <w:rsid w:val="00BD6ADE"/>
    <w:rsid w:val="00BD70E9"/>
    <w:rsid w:val="00BD7177"/>
    <w:rsid w:val="00BD757D"/>
    <w:rsid w:val="00BD7A00"/>
    <w:rsid w:val="00BD7E95"/>
    <w:rsid w:val="00BE0079"/>
    <w:rsid w:val="00BE0193"/>
    <w:rsid w:val="00BE0202"/>
    <w:rsid w:val="00BE024B"/>
    <w:rsid w:val="00BE0320"/>
    <w:rsid w:val="00BE0CF7"/>
    <w:rsid w:val="00BE0E01"/>
    <w:rsid w:val="00BE0E44"/>
    <w:rsid w:val="00BE0F96"/>
    <w:rsid w:val="00BE0FE0"/>
    <w:rsid w:val="00BE10BA"/>
    <w:rsid w:val="00BE1368"/>
    <w:rsid w:val="00BE166C"/>
    <w:rsid w:val="00BE16DC"/>
    <w:rsid w:val="00BE1864"/>
    <w:rsid w:val="00BE19DF"/>
    <w:rsid w:val="00BE1AAF"/>
    <w:rsid w:val="00BE2337"/>
    <w:rsid w:val="00BE2606"/>
    <w:rsid w:val="00BE2687"/>
    <w:rsid w:val="00BE26A1"/>
    <w:rsid w:val="00BE2E32"/>
    <w:rsid w:val="00BE32E6"/>
    <w:rsid w:val="00BE37A2"/>
    <w:rsid w:val="00BE3C55"/>
    <w:rsid w:val="00BE3C5F"/>
    <w:rsid w:val="00BE4099"/>
    <w:rsid w:val="00BE41DF"/>
    <w:rsid w:val="00BE42EA"/>
    <w:rsid w:val="00BE4AC5"/>
    <w:rsid w:val="00BE4F96"/>
    <w:rsid w:val="00BE514D"/>
    <w:rsid w:val="00BE5641"/>
    <w:rsid w:val="00BE5828"/>
    <w:rsid w:val="00BE5C8B"/>
    <w:rsid w:val="00BE5F0A"/>
    <w:rsid w:val="00BE6364"/>
    <w:rsid w:val="00BE63F1"/>
    <w:rsid w:val="00BE63FE"/>
    <w:rsid w:val="00BE6530"/>
    <w:rsid w:val="00BE65F2"/>
    <w:rsid w:val="00BE66E4"/>
    <w:rsid w:val="00BE677B"/>
    <w:rsid w:val="00BE6870"/>
    <w:rsid w:val="00BE6BA5"/>
    <w:rsid w:val="00BE6BC6"/>
    <w:rsid w:val="00BE6C7D"/>
    <w:rsid w:val="00BE6C83"/>
    <w:rsid w:val="00BE6CCB"/>
    <w:rsid w:val="00BE7169"/>
    <w:rsid w:val="00BE7188"/>
    <w:rsid w:val="00BE7269"/>
    <w:rsid w:val="00BE77EF"/>
    <w:rsid w:val="00BE78AD"/>
    <w:rsid w:val="00BF0BC2"/>
    <w:rsid w:val="00BF0E38"/>
    <w:rsid w:val="00BF136A"/>
    <w:rsid w:val="00BF1386"/>
    <w:rsid w:val="00BF17C3"/>
    <w:rsid w:val="00BF1E13"/>
    <w:rsid w:val="00BF20E5"/>
    <w:rsid w:val="00BF27BA"/>
    <w:rsid w:val="00BF2A55"/>
    <w:rsid w:val="00BF2E22"/>
    <w:rsid w:val="00BF2EF7"/>
    <w:rsid w:val="00BF3274"/>
    <w:rsid w:val="00BF3293"/>
    <w:rsid w:val="00BF34B1"/>
    <w:rsid w:val="00BF3542"/>
    <w:rsid w:val="00BF3E7B"/>
    <w:rsid w:val="00BF43B2"/>
    <w:rsid w:val="00BF446F"/>
    <w:rsid w:val="00BF45E9"/>
    <w:rsid w:val="00BF5166"/>
    <w:rsid w:val="00BF51AC"/>
    <w:rsid w:val="00BF53C6"/>
    <w:rsid w:val="00BF5638"/>
    <w:rsid w:val="00BF5B95"/>
    <w:rsid w:val="00BF626D"/>
    <w:rsid w:val="00BF64B5"/>
    <w:rsid w:val="00BF6C8C"/>
    <w:rsid w:val="00BF6C9D"/>
    <w:rsid w:val="00BF6EDF"/>
    <w:rsid w:val="00BF72CD"/>
    <w:rsid w:val="00BF74B1"/>
    <w:rsid w:val="00BF74B4"/>
    <w:rsid w:val="00BF74C9"/>
    <w:rsid w:val="00C00162"/>
    <w:rsid w:val="00C004BA"/>
    <w:rsid w:val="00C00571"/>
    <w:rsid w:val="00C00890"/>
    <w:rsid w:val="00C012C5"/>
    <w:rsid w:val="00C017AD"/>
    <w:rsid w:val="00C017D1"/>
    <w:rsid w:val="00C01874"/>
    <w:rsid w:val="00C01896"/>
    <w:rsid w:val="00C0195E"/>
    <w:rsid w:val="00C0226E"/>
    <w:rsid w:val="00C024D7"/>
    <w:rsid w:val="00C02552"/>
    <w:rsid w:val="00C025CB"/>
    <w:rsid w:val="00C0276C"/>
    <w:rsid w:val="00C02AB9"/>
    <w:rsid w:val="00C03480"/>
    <w:rsid w:val="00C0348D"/>
    <w:rsid w:val="00C037C9"/>
    <w:rsid w:val="00C037CA"/>
    <w:rsid w:val="00C03D87"/>
    <w:rsid w:val="00C03DF4"/>
    <w:rsid w:val="00C0401C"/>
    <w:rsid w:val="00C041DD"/>
    <w:rsid w:val="00C04345"/>
    <w:rsid w:val="00C04758"/>
    <w:rsid w:val="00C047BF"/>
    <w:rsid w:val="00C04AC6"/>
    <w:rsid w:val="00C04EB4"/>
    <w:rsid w:val="00C050BD"/>
    <w:rsid w:val="00C05239"/>
    <w:rsid w:val="00C05539"/>
    <w:rsid w:val="00C05BAA"/>
    <w:rsid w:val="00C062D6"/>
    <w:rsid w:val="00C0676E"/>
    <w:rsid w:val="00C068AD"/>
    <w:rsid w:val="00C06A41"/>
    <w:rsid w:val="00C06F48"/>
    <w:rsid w:val="00C07174"/>
    <w:rsid w:val="00C074F1"/>
    <w:rsid w:val="00C07D60"/>
    <w:rsid w:val="00C07DF9"/>
    <w:rsid w:val="00C1008F"/>
    <w:rsid w:val="00C103DB"/>
    <w:rsid w:val="00C10594"/>
    <w:rsid w:val="00C1070A"/>
    <w:rsid w:val="00C10A37"/>
    <w:rsid w:val="00C11722"/>
    <w:rsid w:val="00C11B3A"/>
    <w:rsid w:val="00C128E4"/>
    <w:rsid w:val="00C12ABF"/>
    <w:rsid w:val="00C12B1C"/>
    <w:rsid w:val="00C1325D"/>
    <w:rsid w:val="00C141AE"/>
    <w:rsid w:val="00C142F9"/>
    <w:rsid w:val="00C1435B"/>
    <w:rsid w:val="00C1445A"/>
    <w:rsid w:val="00C1488D"/>
    <w:rsid w:val="00C148D4"/>
    <w:rsid w:val="00C148D7"/>
    <w:rsid w:val="00C14A81"/>
    <w:rsid w:val="00C14B4A"/>
    <w:rsid w:val="00C14EFE"/>
    <w:rsid w:val="00C14F32"/>
    <w:rsid w:val="00C156DE"/>
    <w:rsid w:val="00C156F8"/>
    <w:rsid w:val="00C1605E"/>
    <w:rsid w:val="00C161BF"/>
    <w:rsid w:val="00C167A2"/>
    <w:rsid w:val="00C167AD"/>
    <w:rsid w:val="00C16A63"/>
    <w:rsid w:val="00C16AE3"/>
    <w:rsid w:val="00C16B4B"/>
    <w:rsid w:val="00C173CB"/>
    <w:rsid w:val="00C17631"/>
    <w:rsid w:val="00C17A2A"/>
    <w:rsid w:val="00C17DA3"/>
    <w:rsid w:val="00C17FF8"/>
    <w:rsid w:val="00C20407"/>
    <w:rsid w:val="00C206C1"/>
    <w:rsid w:val="00C206F4"/>
    <w:rsid w:val="00C20E75"/>
    <w:rsid w:val="00C2114A"/>
    <w:rsid w:val="00C211F9"/>
    <w:rsid w:val="00C2145F"/>
    <w:rsid w:val="00C21752"/>
    <w:rsid w:val="00C2249F"/>
    <w:rsid w:val="00C224B8"/>
    <w:rsid w:val="00C228BF"/>
    <w:rsid w:val="00C22A49"/>
    <w:rsid w:val="00C22B87"/>
    <w:rsid w:val="00C22BDB"/>
    <w:rsid w:val="00C22E5E"/>
    <w:rsid w:val="00C2330F"/>
    <w:rsid w:val="00C2369C"/>
    <w:rsid w:val="00C23DBF"/>
    <w:rsid w:val="00C23E0B"/>
    <w:rsid w:val="00C242D2"/>
    <w:rsid w:val="00C244C2"/>
    <w:rsid w:val="00C248DB"/>
    <w:rsid w:val="00C249BD"/>
    <w:rsid w:val="00C24BC0"/>
    <w:rsid w:val="00C24E81"/>
    <w:rsid w:val="00C2525B"/>
    <w:rsid w:val="00C254CD"/>
    <w:rsid w:val="00C258DD"/>
    <w:rsid w:val="00C25A03"/>
    <w:rsid w:val="00C25B0B"/>
    <w:rsid w:val="00C25C79"/>
    <w:rsid w:val="00C26110"/>
    <w:rsid w:val="00C2666D"/>
    <w:rsid w:val="00C26695"/>
    <w:rsid w:val="00C26875"/>
    <w:rsid w:val="00C26CAF"/>
    <w:rsid w:val="00C26D66"/>
    <w:rsid w:val="00C26FA0"/>
    <w:rsid w:val="00C270E3"/>
    <w:rsid w:val="00C27131"/>
    <w:rsid w:val="00C2756B"/>
    <w:rsid w:val="00C277FA"/>
    <w:rsid w:val="00C27EB7"/>
    <w:rsid w:val="00C303A7"/>
    <w:rsid w:val="00C30481"/>
    <w:rsid w:val="00C30957"/>
    <w:rsid w:val="00C31618"/>
    <w:rsid w:val="00C3162B"/>
    <w:rsid w:val="00C31A21"/>
    <w:rsid w:val="00C32100"/>
    <w:rsid w:val="00C3241C"/>
    <w:rsid w:val="00C327B9"/>
    <w:rsid w:val="00C328C8"/>
    <w:rsid w:val="00C32905"/>
    <w:rsid w:val="00C32C12"/>
    <w:rsid w:val="00C32D77"/>
    <w:rsid w:val="00C32DEF"/>
    <w:rsid w:val="00C33026"/>
    <w:rsid w:val="00C33600"/>
    <w:rsid w:val="00C338DA"/>
    <w:rsid w:val="00C3394D"/>
    <w:rsid w:val="00C33D4C"/>
    <w:rsid w:val="00C33E1C"/>
    <w:rsid w:val="00C34002"/>
    <w:rsid w:val="00C34631"/>
    <w:rsid w:val="00C3487C"/>
    <w:rsid w:val="00C349EB"/>
    <w:rsid w:val="00C34DD3"/>
    <w:rsid w:val="00C352C2"/>
    <w:rsid w:val="00C352CA"/>
    <w:rsid w:val="00C35504"/>
    <w:rsid w:val="00C3568F"/>
    <w:rsid w:val="00C35733"/>
    <w:rsid w:val="00C35933"/>
    <w:rsid w:val="00C360FC"/>
    <w:rsid w:val="00C3613A"/>
    <w:rsid w:val="00C36A85"/>
    <w:rsid w:val="00C36FD7"/>
    <w:rsid w:val="00C374A8"/>
    <w:rsid w:val="00C37A3A"/>
    <w:rsid w:val="00C37A85"/>
    <w:rsid w:val="00C37C88"/>
    <w:rsid w:val="00C37D42"/>
    <w:rsid w:val="00C37EF3"/>
    <w:rsid w:val="00C4006A"/>
    <w:rsid w:val="00C40AF8"/>
    <w:rsid w:val="00C40B64"/>
    <w:rsid w:val="00C40C90"/>
    <w:rsid w:val="00C40CCB"/>
    <w:rsid w:val="00C40CFE"/>
    <w:rsid w:val="00C41368"/>
    <w:rsid w:val="00C418BD"/>
    <w:rsid w:val="00C41937"/>
    <w:rsid w:val="00C41E0F"/>
    <w:rsid w:val="00C420A6"/>
    <w:rsid w:val="00C423C0"/>
    <w:rsid w:val="00C4247C"/>
    <w:rsid w:val="00C42757"/>
    <w:rsid w:val="00C42846"/>
    <w:rsid w:val="00C42885"/>
    <w:rsid w:val="00C428A5"/>
    <w:rsid w:val="00C42D03"/>
    <w:rsid w:val="00C42EC8"/>
    <w:rsid w:val="00C42F8D"/>
    <w:rsid w:val="00C4358D"/>
    <w:rsid w:val="00C437A3"/>
    <w:rsid w:val="00C43BFC"/>
    <w:rsid w:val="00C43FCF"/>
    <w:rsid w:val="00C441F4"/>
    <w:rsid w:val="00C447FA"/>
    <w:rsid w:val="00C44A1A"/>
    <w:rsid w:val="00C44CFB"/>
    <w:rsid w:val="00C44DCC"/>
    <w:rsid w:val="00C45250"/>
    <w:rsid w:val="00C453C9"/>
    <w:rsid w:val="00C456AB"/>
    <w:rsid w:val="00C45735"/>
    <w:rsid w:val="00C45956"/>
    <w:rsid w:val="00C459D3"/>
    <w:rsid w:val="00C45AA4"/>
    <w:rsid w:val="00C4616E"/>
    <w:rsid w:val="00C4630D"/>
    <w:rsid w:val="00C46489"/>
    <w:rsid w:val="00C464A0"/>
    <w:rsid w:val="00C46507"/>
    <w:rsid w:val="00C46A7F"/>
    <w:rsid w:val="00C46DFD"/>
    <w:rsid w:val="00C4719B"/>
    <w:rsid w:val="00C47245"/>
    <w:rsid w:val="00C47284"/>
    <w:rsid w:val="00C4729A"/>
    <w:rsid w:val="00C4734D"/>
    <w:rsid w:val="00C475E3"/>
    <w:rsid w:val="00C47692"/>
    <w:rsid w:val="00C47845"/>
    <w:rsid w:val="00C479B7"/>
    <w:rsid w:val="00C47B4F"/>
    <w:rsid w:val="00C47D6C"/>
    <w:rsid w:val="00C5003D"/>
    <w:rsid w:val="00C501A2"/>
    <w:rsid w:val="00C501DD"/>
    <w:rsid w:val="00C50658"/>
    <w:rsid w:val="00C509FC"/>
    <w:rsid w:val="00C50AF0"/>
    <w:rsid w:val="00C50B04"/>
    <w:rsid w:val="00C50E9F"/>
    <w:rsid w:val="00C50FB8"/>
    <w:rsid w:val="00C51502"/>
    <w:rsid w:val="00C51661"/>
    <w:rsid w:val="00C522BF"/>
    <w:rsid w:val="00C522CE"/>
    <w:rsid w:val="00C52499"/>
    <w:rsid w:val="00C52789"/>
    <w:rsid w:val="00C52B7C"/>
    <w:rsid w:val="00C52CB2"/>
    <w:rsid w:val="00C52EAA"/>
    <w:rsid w:val="00C53050"/>
    <w:rsid w:val="00C53690"/>
    <w:rsid w:val="00C53720"/>
    <w:rsid w:val="00C53A24"/>
    <w:rsid w:val="00C53ACE"/>
    <w:rsid w:val="00C53F0F"/>
    <w:rsid w:val="00C53F52"/>
    <w:rsid w:val="00C54071"/>
    <w:rsid w:val="00C5422B"/>
    <w:rsid w:val="00C54BA5"/>
    <w:rsid w:val="00C54E0C"/>
    <w:rsid w:val="00C5506E"/>
    <w:rsid w:val="00C5551C"/>
    <w:rsid w:val="00C55658"/>
    <w:rsid w:val="00C55A01"/>
    <w:rsid w:val="00C560BC"/>
    <w:rsid w:val="00C565A6"/>
    <w:rsid w:val="00C56961"/>
    <w:rsid w:val="00C56C3B"/>
    <w:rsid w:val="00C56D1E"/>
    <w:rsid w:val="00C570A4"/>
    <w:rsid w:val="00C57271"/>
    <w:rsid w:val="00C57429"/>
    <w:rsid w:val="00C57453"/>
    <w:rsid w:val="00C57975"/>
    <w:rsid w:val="00C57DD3"/>
    <w:rsid w:val="00C57E0C"/>
    <w:rsid w:val="00C60251"/>
    <w:rsid w:val="00C6030D"/>
    <w:rsid w:val="00C604D1"/>
    <w:rsid w:val="00C605F4"/>
    <w:rsid w:val="00C60BD6"/>
    <w:rsid w:val="00C60BEF"/>
    <w:rsid w:val="00C60C42"/>
    <w:rsid w:val="00C60FC0"/>
    <w:rsid w:val="00C6121E"/>
    <w:rsid w:val="00C6122E"/>
    <w:rsid w:val="00C61B8F"/>
    <w:rsid w:val="00C61CA4"/>
    <w:rsid w:val="00C61EEC"/>
    <w:rsid w:val="00C620FE"/>
    <w:rsid w:val="00C6229F"/>
    <w:rsid w:val="00C626CD"/>
    <w:rsid w:val="00C62F1C"/>
    <w:rsid w:val="00C631B3"/>
    <w:rsid w:val="00C635B5"/>
    <w:rsid w:val="00C63D99"/>
    <w:rsid w:val="00C64047"/>
    <w:rsid w:val="00C649E4"/>
    <w:rsid w:val="00C64F4D"/>
    <w:rsid w:val="00C64FE2"/>
    <w:rsid w:val="00C6506F"/>
    <w:rsid w:val="00C65170"/>
    <w:rsid w:val="00C65228"/>
    <w:rsid w:val="00C652C9"/>
    <w:rsid w:val="00C657B5"/>
    <w:rsid w:val="00C65851"/>
    <w:rsid w:val="00C658F5"/>
    <w:rsid w:val="00C65AA5"/>
    <w:rsid w:val="00C65B58"/>
    <w:rsid w:val="00C661C8"/>
    <w:rsid w:val="00C66275"/>
    <w:rsid w:val="00C674CB"/>
    <w:rsid w:val="00C675A9"/>
    <w:rsid w:val="00C67600"/>
    <w:rsid w:val="00C6773A"/>
    <w:rsid w:val="00C67A8B"/>
    <w:rsid w:val="00C67AD2"/>
    <w:rsid w:val="00C67CB0"/>
    <w:rsid w:val="00C67CFF"/>
    <w:rsid w:val="00C67DD5"/>
    <w:rsid w:val="00C67EBE"/>
    <w:rsid w:val="00C7025E"/>
    <w:rsid w:val="00C70344"/>
    <w:rsid w:val="00C704EE"/>
    <w:rsid w:val="00C70897"/>
    <w:rsid w:val="00C70B88"/>
    <w:rsid w:val="00C70BBF"/>
    <w:rsid w:val="00C70CC0"/>
    <w:rsid w:val="00C70CCB"/>
    <w:rsid w:val="00C70F77"/>
    <w:rsid w:val="00C71217"/>
    <w:rsid w:val="00C7121B"/>
    <w:rsid w:val="00C7170D"/>
    <w:rsid w:val="00C71755"/>
    <w:rsid w:val="00C71ABF"/>
    <w:rsid w:val="00C71E9D"/>
    <w:rsid w:val="00C71EDD"/>
    <w:rsid w:val="00C71F5F"/>
    <w:rsid w:val="00C72904"/>
    <w:rsid w:val="00C72BF8"/>
    <w:rsid w:val="00C72E86"/>
    <w:rsid w:val="00C73451"/>
    <w:rsid w:val="00C73AB1"/>
    <w:rsid w:val="00C73B1F"/>
    <w:rsid w:val="00C7434B"/>
    <w:rsid w:val="00C74525"/>
    <w:rsid w:val="00C74670"/>
    <w:rsid w:val="00C74CAB"/>
    <w:rsid w:val="00C74CEA"/>
    <w:rsid w:val="00C7515C"/>
    <w:rsid w:val="00C75826"/>
    <w:rsid w:val="00C75DAA"/>
    <w:rsid w:val="00C75ED0"/>
    <w:rsid w:val="00C7609F"/>
    <w:rsid w:val="00C7622F"/>
    <w:rsid w:val="00C76231"/>
    <w:rsid w:val="00C76509"/>
    <w:rsid w:val="00C76906"/>
    <w:rsid w:val="00C76A0F"/>
    <w:rsid w:val="00C76D2D"/>
    <w:rsid w:val="00C76DEF"/>
    <w:rsid w:val="00C76E3A"/>
    <w:rsid w:val="00C77060"/>
    <w:rsid w:val="00C7721D"/>
    <w:rsid w:val="00C77DB6"/>
    <w:rsid w:val="00C77E2D"/>
    <w:rsid w:val="00C800C5"/>
    <w:rsid w:val="00C803EF"/>
    <w:rsid w:val="00C807B4"/>
    <w:rsid w:val="00C80B4B"/>
    <w:rsid w:val="00C80F8B"/>
    <w:rsid w:val="00C8162C"/>
    <w:rsid w:val="00C81762"/>
    <w:rsid w:val="00C8179A"/>
    <w:rsid w:val="00C8180F"/>
    <w:rsid w:val="00C819C6"/>
    <w:rsid w:val="00C81A2C"/>
    <w:rsid w:val="00C81B7B"/>
    <w:rsid w:val="00C81CEA"/>
    <w:rsid w:val="00C8275E"/>
    <w:rsid w:val="00C8316D"/>
    <w:rsid w:val="00C832A4"/>
    <w:rsid w:val="00C83447"/>
    <w:rsid w:val="00C83672"/>
    <w:rsid w:val="00C83C1F"/>
    <w:rsid w:val="00C83CC9"/>
    <w:rsid w:val="00C84477"/>
    <w:rsid w:val="00C84BEB"/>
    <w:rsid w:val="00C84C59"/>
    <w:rsid w:val="00C84CBA"/>
    <w:rsid w:val="00C84DDC"/>
    <w:rsid w:val="00C85049"/>
    <w:rsid w:val="00C85088"/>
    <w:rsid w:val="00C85212"/>
    <w:rsid w:val="00C85274"/>
    <w:rsid w:val="00C8569C"/>
    <w:rsid w:val="00C857A0"/>
    <w:rsid w:val="00C85C0C"/>
    <w:rsid w:val="00C85F77"/>
    <w:rsid w:val="00C86532"/>
    <w:rsid w:val="00C867F0"/>
    <w:rsid w:val="00C868FF"/>
    <w:rsid w:val="00C869E4"/>
    <w:rsid w:val="00C86E84"/>
    <w:rsid w:val="00C870C6"/>
    <w:rsid w:val="00C87115"/>
    <w:rsid w:val="00C8789C"/>
    <w:rsid w:val="00C878E3"/>
    <w:rsid w:val="00C879D2"/>
    <w:rsid w:val="00C87AF2"/>
    <w:rsid w:val="00C87D40"/>
    <w:rsid w:val="00C87E09"/>
    <w:rsid w:val="00C903A5"/>
    <w:rsid w:val="00C90843"/>
    <w:rsid w:val="00C908C7"/>
    <w:rsid w:val="00C908FB"/>
    <w:rsid w:val="00C90F81"/>
    <w:rsid w:val="00C912C9"/>
    <w:rsid w:val="00C914E6"/>
    <w:rsid w:val="00C915E4"/>
    <w:rsid w:val="00C91B2C"/>
    <w:rsid w:val="00C91BE1"/>
    <w:rsid w:val="00C91C93"/>
    <w:rsid w:val="00C91DB9"/>
    <w:rsid w:val="00C91F86"/>
    <w:rsid w:val="00C920ED"/>
    <w:rsid w:val="00C9218A"/>
    <w:rsid w:val="00C9223E"/>
    <w:rsid w:val="00C9237E"/>
    <w:rsid w:val="00C9290A"/>
    <w:rsid w:val="00C93336"/>
    <w:rsid w:val="00C93AB7"/>
    <w:rsid w:val="00C93D41"/>
    <w:rsid w:val="00C93D7F"/>
    <w:rsid w:val="00C9421D"/>
    <w:rsid w:val="00C944CD"/>
    <w:rsid w:val="00C945A4"/>
    <w:rsid w:val="00C946E7"/>
    <w:rsid w:val="00C94912"/>
    <w:rsid w:val="00C94CC5"/>
    <w:rsid w:val="00C956E8"/>
    <w:rsid w:val="00C95DB8"/>
    <w:rsid w:val="00C95FFF"/>
    <w:rsid w:val="00C9624C"/>
    <w:rsid w:val="00C962E5"/>
    <w:rsid w:val="00C96433"/>
    <w:rsid w:val="00C965CA"/>
    <w:rsid w:val="00C968A8"/>
    <w:rsid w:val="00C96A5C"/>
    <w:rsid w:val="00C9720E"/>
    <w:rsid w:val="00C97318"/>
    <w:rsid w:val="00C975F7"/>
    <w:rsid w:val="00C97EA9"/>
    <w:rsid w:val="00CA0364"/>
    <w:rsid w:val="00CA0412"/>
    <w:rsid w:val="00CA0D5B"/>
    <w:rsid w:val="00CA14E5"/>
    <w:rsid w:val="00CA15AE"/>
    <w:rsid w:val="00CA1603"/>
    <w:rsid w:val="00CA1702"/>
    <w:rsid w:val="00CA17DF"/>
    <w:rsid w:val="00CA1DE1"/>
    <w:rsid w:val="00CA1F31"/>
    <w:rsid w:val="00CA274B"/>
    <w:rsid w:val="00CA3502"/>
    <w:rsid w:val="00CA3723"/>
    <w:rsid w:val="00CA4137"/>
    <w:rsid w:val="00CA4168"/>
    <w:rsid w:val="00CA4480"/>
    <w:rsid w:val="00CA458D"/>
    <w:rsid w:val="00CA4B06"/>
    <w:rsid w:val="00CA4BEF"/>
    <w:rsid w:val="00CA4C36"/>
    <w:rsid w:val="00CA51D3"/>
    <w:rsid w:val="00CA5542"/>
    <w:rsid w:val="00CA558F"/>
    <w:rsid w:val="00CA5B60"/>
    <w:rsid w:val="00CA5D3B"/>
    <w:rsid w:val="00CA5EDB"/>
    <w:rsid w:val="00CA5FFF"/>
    <w:rsid w:val="00CA6156"/>
    <w:rsid w:val="00CA65FA"/>
    <w:rsid w:val="00CA672B"/>
    <w:rsid w:val="00CA6E7D"/>
    <w:rsid w:val="00CA72DB"/>
    <w:rsid w:val="00CA7389"/>
    <w:rsid w:val="00CA73C8"/>
    <w:rsid w:val="00CA764D"/>
    <w:rsid w:val="00CA7CDF"/>
    <w:rsid w:val="00CA7D83"/>
    <w:rsid w:val="00CA7F92"/>
    <w:rsid w:val="00CB0B0D"/>
    <w:rsid w:val="00CB0BC9"/>
    <w:rsid w:val="00CB18CC"/>
    <w:rsid w:val="00CB1917"/>
    <w:rsid w:val="00CB1A0F"/>
    <w:rsid w:val="00CB1A3E"/>
    <w:rsid w:val="00CB1C51"/>
    <w:rsid w:val="00CB1EC1"/>
    <w:rsid w:val="00CB233C"/>
    <w:rsid w:val="00CB25F4"/>
    <w:rsid w:val="00CB2C23"/>
    <w:rsid w:val="00CB2DF4"/>
    <w:rsid w:val="00CB2EAB"/>
    <w:rsid w:val="00CB3605"/>
    <w:rsid w:val="00CB394D"/>
    <w:rsid w:val="00CB3A20"/>
    <w:rsid w:val="00CB3B77"/>
    <w:rsid w:val="00CB3C4D"/>
    <w:rsid w:val="00CB3DC5"/>
    <w:rsid w:val="00CB406A"/>
    <w:rsid w:val="00CB491F"/>
    <w:rsid w:val="00CB4C76"/>
    <w:rsid w:val="00CB4D2D"/>
    <w:rsid w:val="00CB52F7"/>
    <w:rsid w:val="00CB59FA"/>
    <w:rsid w:val="00CB61F1"/>
    <w:rsid w:val="00CB65D5"/>
    <w:rsid w:val="00CB65DA"/>
    <w:rsid w:val="00CB6A99"/>
    <w:rsid w:val="00CB75E3"/>
    <w:rsid w:val="00CB77CD"/>
    <w:rsid w:val="00CB785E"/>
    <w:rsid w:val="00CB7EEE"/>
    <w:rsid w:val="00CB7FA0"/>
    <w:rsid w:val="00CC0099"/>
    <w:rsid w:val="00CC06FE"/>
    <w:rsid w:val="00CC07C2"/>
    <w:rsid w:val="00CC08E2"/>
    <w:rsid w:val="00CC0B01"/>
    <w:rsid w:val="00CC0BC7"/>
    <w:rsid w:val="00CC0F58"/>
    <w:rsid w:val="00CC120E"/>
    <w:rsid w:val="00CC1329"/>
    <w:rsid w:val="00CC15E1"/>
    <w:rsid w:val="00CC1A2E"/>
    <w:rsid w:val="00CC1ADA"/>
    <w:rsid w:val="00CC1CDC"/>
    <w:rsid w:val="00CC1D29"/>
    <w:rsid w:val="00CC1E2C"/>
    <w:rsid w:val="00CC26B8"/>
    <w:rsid w:val="00CC29B6"/>
    <w:rsid w:val="00CC2E84"/>
    <w:rsid w:val="00CC2FDC"/>
    <w:rsid w:val="00CC38AD"/>
    <w:rsid w:val="00CC3CF3"/>
    <w:rsid w:val="00CC41F1"/>
    <w:rsid w:val="00CC42D3"/>
    <w:rsid w:val="00CC4899"/>
    <w:rsid w:val="00CC4D1A"/>
    <w:rsid w:val="00CC52B9"/>
    <w:rsid w:val="00CC5605"/>
    <w:rsid w:val="00CC585A"/>
    <w:rsid w:val="00CC59F9"/>
    <w:rsid w:val="00CC5C2D"/>
    <w:rsid w:val="00CC5C36"/>
    <w:rsid w:val="00CC63B9"/>
    <w:rsid w:val="00CC69A3"/>
    <w:rsid w:val="00CC6AE3"/>
    <w:rsid w:val="00CC6CB7"/>
    <w:rsid w:val="00CC6DF6"/>
    <w:rsid w:val="00CC6EA9"/>
    <w:rsid w:val="00CC710A"/>
    <w:rsid w:val="00CC739F"/>
    <w:rsid w:val="00CC7665"/>
    <w:rsid w:val="00CC77FD"/>
    <w:rsid w:val="00CC7BE6"/>
    <w:rsid w:val="00CC7ECC"/>
    <w:rsid w:val="00CD01AB"/>
    <w:rsid w:val="00CD04D0"/>
    <w:rsid w:val="00CD0681"/>
    <w:rsid w:val="00CD0CCA"/>
    <w:rsid w:val="00CD0FD1"/>
    <w:rsid w:val="00CD179E"/>
    <w:rsid w:val="00CD19EC"/>
    <w:rsid w:val="00CD1F0F"/>
    <w:rsid w:val="00CD2128"/>
    <w:rsid w:val="00CD2168"/>
    <w:rsid w:val="00CD2232"/>
    <w:rsid w:val="00CD2374"/>
    <w:rsid w:val="00CD2549"/>
    <w:rsid w:val="00CD25BD"/>
    <w:rsid w:val="00CD2A39"/>
    <w:rsid w:val="00CD347E"/>
    <w:rsid w:val="00CD388A"/>
    <w:rsid w:val="00CD3971"/>
    <w:rsid w:val="00CD3E37"/>
    <w:rsid w:val="00CD40FF"/>
    <w:rsid w:val="00CD42DC"/>
    <w:rsid w:val="00CD4328"/>
    <w:rsid w:val="00CD44DF"/>
    <w:rsid w:val="00CD52E1"/>
    <w:rsid w:val="00CD564B"/>
    <w:rsid w:val="00CD58E6"/>
    <w:rsid w:val="00CD5A30"/>
    <w:rsid w:val="00CD5A72"/>
    <w:rsid w:val="00CD5A8F"/>
    <w:rsid w:val="00CD5BBE"/>
    <w:rsid w:val="00CD6056"/>
    <w:rsid w:val="00CD6779"/>
    <w:rsid w:val="00CD677F"/>
    <w:rsid w:val="00CD67C7"/>
    <w:rsid w:val="00CD6AA6"/>
    <w:rsid w:val="00CD6B42"/>
    <w:rsid w:val="00CD762D"/>
    <w:rsid w:val="00CD798A"/>
    <w:rsid w:val="00CD7CAF"/>
    <w:rsid w:val="00CD7F2B"/>
    <w:rsid w:val="00CD7FC6"/>
    <w:rsid w:val="00CE00C4"/>
    <w:rsid w:val="00CE00E2"/>
    <w:rsid w:val="00CE0202"/>
    <w:rsid w:val="00CE0628"/>
    <w:rsid w:val="00CE0DDA"/>
    <w:rsid w:val="00CE1040"/>
    <w:rsid w:val="00CE18C8"/>
    <w:rsid w:val="00CE1933"/>
    <w:rsid w:val="00CE1D25"/>
    <w:rsid w:val="00CE1EBB"/>
    <w:rsid w:val="00CE236E"/>
    <w:rsid w:val="00CE23AC"/>
    <w:rsid w:val="00CE2E17"/>
    <w:rsid w:val="00CE2FA9"/>
    <w:rsid w:val="00CE2FC4"/>
    <w:rsid w:val="00CE32E0"/>
    <w:rsid w:val="00CE33F9"/>
    <w:rsid w:val="00CE36D0"/>
    <w:rsid w:val="00CE3DA7"/>
    <w:rsid w:val="00CE4884"/>
    <w:rsid w:val="00CE4B47"/>
    <w:rsid w:val="00CE4E58"/>
    <w:rsid w:val="00CE509D"/>
    <w:rsid w:val="00CE528E"/>
    <w:rsid w:val="00CE5339"/>
    <w:rsid w:val="00CE5704"/>
    <w:rsid w:val="00CE5835"/>
    <w:rsid w:val="00CE5F6E"/>
    <w:rsid w:val="00CE64A7"/>
    <w:rsid w:val="00CE65F3"/>
    <w:rsid w:val="00CE68DD"/>
    <w:rsid w:val="00CE6B05"/>
    <w:rsid w:val="00CE6C55"/>
    <w:rsid w:val="00CE6CC4"/>
    <w:rsid w:val="00CE7231"/>
    <w:rsid w:val="00CE7A6B"/>
    <w:rsid w:val="00CE7C49"/>
    <w:rsid w:val="00CE7F97"/>
    <w:rsid w:val="00CF0056"/>
    <w:rsid w:val="00CF0855"/>
    <w:rsid w:val="00CF0992"/>
    <w:rsid w:val="00CF0B35"/>
    <w:rsid w:val="00CF0C8B"/>
    <w:rsid w:val="00CF0F67"/>
    <w:rsid w:val="00CF1002"/>
    <w:rsid w:val="00CF118E"/>
    <w:rsid w:val="00CF1B01"/>
    <w:rsid w:val="00CF1B6D"/>
    <w:rsid w:val="00CF1E60"/>
    <w:rsid w:val="00CF1F35"/>
    <w:rsid w:val="00CF1F3A"/>
    <w:rsid w:val="00CF2292"/>
    <w:rsid w:val="00CF2512"/>
    <w:rsid w:val="00CF2940"/>
    <w:rsid w:val="00CF2A8B"/>
    <w:rsid w:val="00CF2C89"/>
    <w:rsid w:val="00CF2F21"/>
    <w:rsid w:val="00CF3284"/>
    <w:rsid w:val="00CF33E3"/>
    <w:rsid w:val="00CF3412"/>
    <w:rsid w:val="00CF399C"/>
    <w:rsid w:val="00CF39EC"/>
    <w:rsid w:val="00CF3E53"/>
    <w:rsid w:val="00CF444E"/>
    <w:rsid w:val="00CF520D"/>
    <w:rsid w:val="00CF5699"/>
    <w:rsid w:val="00CF578C"/>
    <w:rsid w:val="00CF58C2"/>
    <w:rsid w:val="00CF5A32"/>
    <w:rsid w:val="00CF5CC9"/>
    <w:rsid w:val="00CF5F52"/>
    <w:rsid w:val="00CF609A"/>
    <w:rsid w:val="00CF694E"/>
    <w:rsid w:val="00CF707D"/>
    <w:rsid w:val="00CF7255"/>
    <w:rsid w:val="00CF7285"/>
    <w:rsid w:val="00CF72F2"/>
    <w:rsid w:val="00CF731A"/>
    <w:rsid w:val="00CF74BA"/>
    <w:rsid w:val="00CF7694"/>
    <w:rsid w:val="00CF76E7"/>
    <w:rsid w:val="00CF7854"/>
    <w:rsid w:val="00CF7A25"/>
    <w:rsid w:val="00CF7DA3"/>
    <w:rsid w:val="00CF7F9A"/>
    <w:rsid w:val="00D00129"/>
    <w:rsid w:val="00D0047F"/>
    <w:rsid w:val="00D00D90"/>
    <w:rsid w:val="00D017CB"/>
    <w:rsid w:val="00D01D2B"/>
    <w:rsid w:val="00D0200F"/>
    <w:rsid w:val="00D020A6"/>
    <w:rsid w:val="00D0218D"/>
    <w:rsid w:val="00D0254E"/>
    <w:rsid w:val="00D02644"/>
    <w:rsid w:val="00D027A8"/>
    <w:rsid w:val="00D02A1B"/>
    <w:rsid w:val="00D02C1E"/>
    <w:rsid w:val="00D02D51"/>
    <w:rsid w:val="00D034EE"/>
    <w:rsid w:val="00D0375C"/>
    <w:rsid w:val="00D03DED"/>
    <w:rsid w:val="00D03FD6"/>
    <w:rsid w:val="00D04454"/>
    <w:rsid w:val="00D045E1"/>
    <w:rsid w:val="00D0534D"/>
    <w:rsid w:val="00D055F3"/>
    <w:rsid w:val="00D05799"/>
    <w:rsid w:val="00D057BD"/>
    <w:rsid w:val="00D0594D"/>
    <w:rsid w:val="00D05CC8"/>
    <w:rsid w:val="00D05CD4"/>
    <w:rsid w:val="00D05EC8"/>
    <w:rsid w:val="00D06060"/>
    <w:rsid w:val="00D060B7"/>
    <w:rsid w:val="00D063E6"/>
    <w:rsid w:val="00D0647B"/>
    <w:rsid w:val="00D06560"/>
    <w:rsid w:val="00D06827"/>
    <w:rsid w:val="00D06B69"/>
    <w:rsid w:val="00D06C0B"/>
    <w:rsid w:val="00D06DEA"/>
    <w:rsid w:val="00D06E40"/>
    <w:rsid w:val="00D07544"/>
    <w:rsid w:val="00D10052"/>
    <w:rsid w:val="00D103CD"/>
    <w:rsid w:val="00D105B9"/>
    <w:rsid w:val="00D1077B"/>
    <w:rsid w:val="00D108B1"/>
    <w:rsid w:val="00D10906"/>
    <w:rsid w:val="00D10B11"/>
    <w:rsid w:val="00D10BDC"/>
    <w:rsid w:val="00D10D3B"/>
    <w:rsid w:val="00D11099"/>
    <w:rsid w:val="00D1114D"/>
    <w:rsid w:val="00D1159D"/>
    <w:rsid w:val="00D11B30"/>
    <w:rsid w:val="00D11C45"/>
    <w:rsid w:val="00D12244"/>
    <w:rsid w:val="00D122EE"/>
    <w:rsid w:val="00D12511"/>
    <w:rsid w:val="00D125B6"/>
    <w:rsid w:val="00D12865"/>
    <w:rsid w:val="00D12A68"/>
    <w:rsid w:val="00D131CC"/>
    <w:rsid w:val="00D1324C"/>
    <w:rsid w:val="00D134DA"/>
    <w:rsid w:val="00D1354F"/>
    <w:rsid w:val="00D13864"/>
    <w:rsid w:val="00D13F4E"/>
    <w:rsid w:val="00D141C8"/>
    <w:rsid w:val="00D14357"/>
    <w:rsid w:val="00D144A6"/>
    <w:rsid w:val="00D145D7"/>
    <w:rsid w:val="00D146EA"/>
    <w:rsid w:val="00D1480C"/>
    <w:rsid w:val="00D14BDE"/>
    <w:rsid w:val="00D14E45"/>
    <w:rsid w:val="00D14FAC"/>
    <w:rsid w:val="00D1510A"/>
    <w:rsid w:val="00D15464"/>
    <w:rsid w:val="00D154BA"/>
    <w:rsid w:val="00D1554C"/>
    <w:rsid w:val="00D1561A"/>
    <w:rsid w:val="00D15CC8"/>
    <w:rsid w:val="00D15CD7"/>
    <w:rsid w:val="00D15F6C"/>
    <w:rsid w:val="00D16825"/>
    <w:rsid w:val="00D169C2"/>
    <w:rsid w:val="00D16CAF"/>
    <w:rsid w:val="00D170AA"/>
    <w:rsid w:val="00D170EC"/>
    <w:rsid w:val="00D17E6A"/>
    <w:rsid w:val="00D17EC3"/>
    <w:rsid w:val="00D17EF1"/>
    <w:rsid w:val="00D2036B"/>
    <w:rsid w:val="00D2060D"/>
    <w:rsid w:val="00D206A9"/>
    <w:rsid w:val="00D2070A"/>
    <w:rsid w:val="00D207C4"/>
    <w:rsid w:val="00D208DC"/>
    <w:rsid w:val="00D21492"/>
    <w:rsid w:val="00D21496"/>
    <w:rsid w:val="00D2172D"/>
    <w:rsid w:val="00D21870"/>
    <w:rsid w:val="00D219D1"/>
    <w:rsid w:val="00D21FFF"/>
    <w:rsid w:val="00D2253C"/>
    <w:rsid w:val="00D225F2"/>
    <w:rsid w:val="00D22601"/>
    <w:rsid w:val="00D22B82"/>
    <w:rsid w:val="00D22DF3"/>
    <w:rsid w:val="00D23A3A"/>
    <w:rsid w:val="00D23E62"/>
    <w:rsid w:val="00D246CF"/>
    <w:rsid w:val="00D24AD4"/>
    <w:rsid w:val="00D2518D"/>
    <w:rsid w:val="00D252AF"/>
    <w:rsid w:val="00D255C9"/>
    <w:rsid w:val="00D25610"/>
    <w:rsid w:val="00D25A65"/>
    <w:rsid w:val="00D261D2"/>
    <w:rsid w:val="00D26637"/>
    <w:rsid w:val="00D26A42"/>
    <w:rsid w:val="00D26F1B"/>
    <w:rsid w:val="00D26F7D"/>
    <w:rsid w:val="00D277FD"/>
    <w:rsid w:val="00D27A01"/>
    <w:rsid w:val="00D3002B"/>
    <w:rsid w:val="00D303F3"/>
    <w:rsid w:val="00D3070D"/>
    <w:rsid w:val="00D308C4"/>
    <w:rsid w:val="00D30FB3"/>
    <w:rsid w:val="00D30FC0"/>
    <w:rsid w:val="00D30FD4"/>
    <w:rsid w:val="00D31128"/>
    <w:rsid w:val="00D311A5"/>
    <w:rsid w:val="00D3162A"/>
    <w:rsid w:val="00D31835"/>
    <w:rsid w:val="00D31995"/>
    <w:rsid w:val="00D31C1F"/>
    <w:rsid w:val="00D32422"/>
    <w:rsid w:val="00D32596"/>
    <w:rsid w:val="00D325A0"/>
    <w:rsid w:val="00D32928"/>
    <w:rsid w:val="00D329F4"/>
    <w:rsid w:val="00D32ABD"/>
    <w:rsid w:val="00D32AD3"/>
    <w:rsid w:val="00D32E27"/>
    <w:rsid w:val="00D32FC4"/>
    <w:rsid w:val="00D3317D"/>
    <w:rsid w:val="00D3349A"/>
    <w:rsid w:val="00D3353E"/>
    <w:rsid w:val="00D33811"/>
    <w:rsid w:val="00D33C71"/>
    <w:rsid w:val="00D340D4"/>
    <w:rsid w:val="00D34361"/>
    <w:rsid w:val="00D34EB5"/>
    <w:rsid w:val="00D34F05"/>
    <w:rsid w:val="00D35888"/>
    <w:rsid w:val="00D35CC1"/>
    <w:rsid w:val="00D360A4"/>
    <w:rsid w:val="00D36522"/>
    <w:rsid w:val="00D3709D"/>
    <w:rsid w:val="00D3713B"/>
    <w:rsid w:val="00D374C1"/>
    <w:rsid w:val="00D37EEF"/>
    <w:rsid w:val="00D4028D"/>
    <w:rsid w:val="00D40335"/>
    <w:rsid w:val="00D4034D"/>
    <w:rsid w:val="00D40717"/>
    <w:rsid w:val="00D40ACC"/>
    <w:rsid w:val="00D40DAB"/>
    <w:rsid w:val="00D40E36"/>
    <w:rsid w:val="00D41312"/>
    <w:rsid w:val="00D41343"/>
    <w:rsid w:val="00D41832"/>
    <w:rsid w:val="00D41BF4"/>
    <w:rsid w:val="00D41C56"/>
    <w:rsid w:val="00D41F5F"/>
    <w:rsid w:val="00D42089"/>
    <w:rsid w:val="00D42163"/>
    <w:rsid w:val="00D422B7"/>
    <w:rsid w:val="00D42398"/>
    <w:rsid w:val="00D42434"/>
    <w:rsid w:val="00D4243A"/>
    <w:rsid w:val="00D427B7"/>
    <w:rsid w:val="00D4287D"/>
    <w:rsid w:val="00D43941"/>
    <w:rsid w:val="00D43B9A"/>
    <w:rsid w:val="00D44054"/>
    <w:rsid w:val="00D44244"/>
    <w:rsid w:val="00D4424C"/>
    <w:rsid w:val="00D44578"/>
    <w:rsid w:val="00D446D6"/>
    <w:rsid w:val="00D446F7"/>
    <w:rsid w:val="00D4470C"/>
    <w:rsid w:val="00D448FC"/>
    <w:rsid w:val="00D44A3A"/>
    <w:rsid w:val="00D45481"/>
    <w:rsid w:val="00D45692"/>
    <w:rsid w:val="00D45CEC"/>
    <w:rsid w:val="00D45D36"/>
    <w:rsid w:val="00D45E70"/>
    <w:rsid w:val="00D45F87"/>
    <w:rsid w:val="00D46727"/>
    <w:rsid w:val="00D46A44"/>
    <w:rsid w:val="00D46C89"/>
    <w:rsid w:val="00D472D5"/>
    <w:rsid w:val="00D47375"/>
    <w:rsid w:val="00D47511"/>
    <w:rsid w:val="00D4751C"/>
    <w:rsid w:val="00D477E9"/>
    <w:rsid w:val="00D478D4"/>
    <w:rsid w:val="00D47A88"/>
    <w:rsid w:val="00D47A89"/>
    <w:rsid w:val="00D47AF3"/>
    <w:rsid w:val="00D47C81"/>
    <w:rsid w:val="00D50090"/>
    <w:rsid w:val="00D5013F"/>
    <w:rsid w:val="00D50254"/>
    <w:rsid w:val="00D503E7"/>
    <w:rsid w:val="00D50451"/>
    <w:rsid w:val="00D507F4"/>
    <w:rsid w:val="00D512AC"/>
    <w:rsid w:val="00D51329"/>
    <w:rsid w:val="00D51411"/>
    <w:rsid w:val="00D51B9D"/>
    <w:rsid w:val="00D521DB"/>
    <w:rsid w:val="00D522C3"/>
    <w:rsid w:val="00D528FB"/>
    <w:rsid w:val="00D52E9F"/>
    <w:rsid w:val="00D52FE5"/>
    <w:rsid w:val="00D530DB"/>
    <w:rsid w:val="00D53334"/>
    <w:rsid w:val="00D5354D"/>
    <w:rsid w:val="00D535A6"/>
    <w:rsid w:val="00D53B60"/>
    <w:rsid w:val="00D53ED8"/>
    <w:rsid w:val="00D54246"/>
    <w:rsid w:val="00D5482C"/>
    <w:rsid w:val="00D54FF6"/>
    <w:rsid w:val="00D553D2"/>
    <w:rsid w:val="00D55487"/>
    <w:rsid w:val="00D554F2"/>
    <w:rsid w:val="00D5599F"/>
    <w:rsid w:val="00D55A7C"/>
    <w:rsid w:val="00D55CBC"/>
    <w:rsid w:val="00D55D79"/>
    <w:rsid w:val="00D55D8A"/>
    <w:rsid w:val="00D5608A"/>
    <w:rsid w:val="00D56127"/>
    <w:rsid w:val="00D562C0"/>
    <w:rsid w:val="00D56954"/>
    <w:rsid w:val="00D56AE1"/>
    <w:rsid w:val="00D56D7A"/>
    <w:rsid w:val="00D56DC8"/>
    <w:rsid w:val="00D57261"/>
    <w:rsid w:val="00D5733B"/>
    <w:rsid w:val="00D574F9"/>
    <w:rsid w:val="00D5752C"/>
    <w:rsid w:val="00D576BD"/>
    <w:rsid w:val="00D57FDA"/>
    <w:rsid w:val="00D60708"/>
    <w:rsid w:val="00D60AA8"/>
    <w:rsid w:val="00D6103E"/>
    <w:rsid w:val="00D61D76"/>
    <w:rsid w:val="00D61FA6"/>
    <w:rsid w:val="00D62344"/>
    <w:rsid w:val="00D62380"/>
    <w:rsid w:val="00D6242A"/>
    <w:rsid w:val="00D626D6"/>
    <w:rsid w:val="00D6289D"/>
    <w:rsid w:val="00D62B94"/>
    <w:rsid w:val="00D62C8B"/>
    <w:rsid w:val="00D63268"/>
    <w:rsid w:val="00D6330F"/>
    <w:rsid w:val="00D63374"/>
    <w:rsid w:val="00D6341E"/>
    <w:rsid w:val="00D63510"/>
    <w:rsid w:val="00D63731"/>
    <w:rsid w:val="00D63FCA"/>
    <w:rsid w:val="00D640BC"/>
    <w:rsid w:val="00D6465D"/>
    <w:rsid w:val="00D64B13"/>
    <w:rsid w:val="00D64C2E"/>
    <w:rsid w:val="00D651B5"/>
    <w:rsid w:val="00D6569C"/>
    <w:rsid w:val="00D656E0"/>
    <w:rsid w:val="00D65ABD"/>
    <w:rsid w:val="00D65B4E"/>
    <w:rsid w:val="00D6637A"/>
    <w:rsid w:val="00D665E0"/>
    <w:rsid w:val="00D66831"/>
    <w:rsid w:val="00D66D27"/>
    <w:rsid w:val="00D66F6D"/>
    <w:rsid w:val="00D670FA"/>
    <w:rsid w:val="00D673D9"/>
    <w:rsid w:val="00D675BA"/>
    <w:rsid w:val="00D6768C"/>
    <w:rsid w:val="00D678D8"/>
    <w:rsid w:val="00D67977"/>
    <w:rsid w:val="00D67A7C"/>
    <w:rsid w:val="00D67F0D"/>
    <w:rsid w:val="00D67F15"/>
    <w:rsid w:val="00D7005B"/>
    <w:rsid w:val="00D70074"/>
    <w:rsid w:val="00D70402"/>
    <w:rsid w:val="00D705F3"/>
    <w:rsid w:val="00D70602"/>
    <w:rsid w:val="00D7068B"/>
    <w:rsid w:val="00D707B4"/>
    <w:rsid w:val="00D7091E"/>
    <w:rsid w:val="00D70DF9"/>
    <w:rsid w:val="00D70E9B"/>
    <w:rsid w:val="00D70ECB"/>
    <w:rsid w:val="00D7169D"/>
    <w:rsid w:val="00D71E80"/>
    <w:rsid w:val="00D72150"/>
    <w:rsid w:val="00D72678"/>
    <w:rsid w:val="00D72F35"/>
    <w:rsid w:val="00D735B5"/>
    <w:rsid w:val="00D73662"/>
    <w:rsid w:val="00D73A17"/>
    <w:rsid w:val="00D73BBB"/>
    <w:rsid w:val="00D73F34"/>
    <w:rsid w:val="00D742A9"/>
    <w:rsid w:val="00D7442E"/>
    <w:rsid w:val="00D744FC"/>
    <w:rsid w:val="00D7489C"/>
    <w:rsid w:val="00D748C1"/>
    <w:rsid w:val="00D74AB9"/>
    <w:rsid w:val="00D74B3F"/>
    <w:rsid w:val="00D750B0"/>
    <w:rsid w:val="00D7540C"/>
    <w:rsid w:val="00D754DA"/>
    <w:rsid w:val="00D75C79"/>
    <w:rsid w:val="00D76053"/>
    <w:rsid w:val="00D760B9"/>
    <w:rsid w:val="00D7618D"/>
    <w:rsid w:val="00D76347"/>
    <w:rsid w:val="00D76414"/>
    <w:rsid w:val="00D769B4"/>
    <w:rsid w:val="00D76C91"/>
    <w:rsid w:val="00D77025"/>
    <w:rsid w:val="00D7780D"/>
    <w:rsid w:val="00D77B74"/>
    <w:rsid w:val="00D77EDC"/>
    <w:rsid w:val="00D802DF"/>
    <w:rsid w:val="00D805A1"/>
    <w:rsid w:val="00D806A7"/>
    <w:rsid w:val="00D80817"/>
    <w:rsid w:val="00D80C2E"/>
    <w:rsid w:val="00D818B2"/>
    <w:rsid w:val="00D81AED"/>
    <w:rsid w:val="00D81B19"/>
    <w:rsid w:val="00D81F32"/>
    <w:rsid w:val="00D82145"/>
    <w:rsid w:val="00D82435"/>
    <w:rsid w:val="00D8277D"/>
    <w:rsid w:val="00D82DD9"/>
    <w:rsid w:val="00D82E3F"/>
    <w:rsid w:val="00D831FC"/>
    <w:rsid w:val="00D83483"/>
    <w:rsid w:val="00D834BF"/>
    <w:rsid w:val="00D836AD"/>
    <w:rsid w:val="00D837B8"/>
    <w:rsid w:val="00D83A59"/>
    <w:rsid w:val="00D83DC6"/>
    <w:rsid w:val="00D83F07"/>
    <w:rsid w:val="00D84359"/>
    <w:rsid w:val="00D845D8"/>
    <w:rsid w:val="00D84853"/>
    <w:rsid w:val="00D84870"/>
    <w:rsid w:val="00D84977"/>
    <w:rsid w:val="00D84A42"/>
    <w:rsid w:val="00D84A49"/>
    <w:rsid w:val="00D84D67"/>
    <w:rsid w:val="00D84DAE"/>
    <w:rsid w:val="00D8511B"/>
    <w:rsid w:val="00D85152"/>
    <w:rsid w:val="00D855C4"/>
    <w:rsid w:val="00D855E2"/>
    <w:rsid w:val="00D855F7"/>
    <w:rsid w:val="00D8573D"/>
    <w:rsid w:val="00D85A76"/>
    <w:rsid w:val="00D86154"/>
    <w:rsid w:val="00D861D9"/>
    <w:rsid w:val="00D86219"/>
    <w:rsid w:val="00D863C4"/>
    <w:rsid w:val="00D86D78"/>
    <w:rsid w:val="00D872BD"/>
    <w:rsid w:val="00D87500"/>
    <w:rsid w:val="00D87939"/>
    <w:rsid w:val="00D87AA5"/>
    <w:rsid w:val="00D87BD9"/>
    <w:rsid w:val="00D87D0A"/>
    <w:rsid w:val="00D9012D"/>
    <w:rsid w:val="00D90586"/>
    <w:rsid w:val="00D90706"/>
    <w:rsid w:val="00D90759"/>
    <w:rsid w:val="00D908DE"/>
    <w:rsid w:val="00D90ABC"/>
    <w:rsid w:val="00D90F13"/>
    <w:rsid w:val="00D9154A"/>
    <w:rsid w:val="00D9162A"/>
    <w:rsid w:val="00D9174D"/>
    <w:rsid w:val="00D91A53"/>
    <w:rsid w:val="00D91DF5"/>
    <w:rsid w:val="00D91E4D"/>
    <w:rsid w:val="00D91F6C"/>
    <w:rsid w:val="00D91FE1"/>
    <w:rsid w:val="00D923AE"/>
    <w:rsid w:val="00D929DD"/>
    <w:rsid w:val="00D931BE"/>
    <w:rsid w:val="00D934EF"/>
    <w:rsid w:val="00D93790"/>
    <w:rsid w:val="00D93980"/>
    <w:rsid w:val="00D93AF0"/>
    <w:rsid w:val="00D93FB5"/>
    <w:rsid w:val="00D943B9"/>
    <w:rsid w:val="00D94DA7"/>
    <w:rsid w:val="00D94DF3"/>
    <w:rsid w:val="00D94E4A"/>
    <w:rsid w:val="00D9510D"/>
    <w:rsid w:val="00D956EE"/>
    <w:rsid w:val="00D95853"/>
    <w:rsid w:val="00D958D3"/>
    <w:rsid w:val="00D95EE1"/>
    <w:rsid w:val="00D961EF"/>
    <w:rsid w:val="00D962A4"/>
    <w:rsid w:val="00D96449"/>
    <w:rsid w:val="00D9657A"/>
    <w:rsid w:val="00D97221"/>
    <w:rsid w:val="00D973AB"/>
    <w:rsid w:val="00D979F0"/>
    <w:rsid w:val="00D97AC9"/>
    <w:rsid w:val="00D97B12"/>
    <w:rsid w:val="00D97C0D"/>
    <w:rsid w:val="00D97C28"/>
    <w:rsid w:val="00DA0289"/>
    <w:rsid w:val="00DA04FD"/>
    <w:rsid w:val="00DA058B"/>
    <w:rsid w:val="00DA06EB"/>
    <w:rsid w:val="00DA0797"/>
    <w:rsid w:val="00DA08F9"/>
    <w:rsid w:val="00DA1352"/>
    <w:rsid w:val="00DA14BD"/>
    <w:rsid w:val="00DA1BC7"/>
    <w:rsid w:val="00DA1D0E"/>
    <w:rsid w:val="00DA20E8"/>
    <w:rsid w:val="00DA2373"/>
    <w:rsid w:val="00DA2C3B"/>
    <w:rsid w:val="00DA3847"/>
    <w:rsid w:val="00DA3913"/>
    <w:rsid w:val="00DA3F25"/>
    <w:rsid w:val="00DA45E0"/>
    <w:rsid w:val="00DA4D6A"/>
    <w:rsid w:val="00DA4DD6"/>
    <w:rsid w:val="00DA5189"/>
    <w:rsid w:val="00DA5203"/>
    <w:rsid w:val="00DA562A"/>
    <w:rsid w:val="00DA56BC"/>
    <w:rsid w:val="00DA5C4F"/>
    <w:rsid w:val="00DA5E4A"/>
    <w:rsid w:val="00DA5E88"/>
    <w:rsid w:val="00DA61CE"/>
    <w:rsid w:val="00DA62B9"/>
    <w:rsid w:val="00DA6424"/>
    <w:rsid w:val="00DA654B"/>
    <w:rsid w:val="00DA6680"/>
    <w:rsid w:val="00DA67FF"/>
    <w:rsid w:val="00DA6B4D"/>
    <w:rsid w:val="00DA6B7E"/>
    <w:rsid w:val="00DA6EAC"/>
    <w:rsid w:val="00DA6F9A"/>
    <w:rsid w:val="00DA74DA"/>
    <w:rsid w:val="00DA7890"/>
    <w:rsid w:val="00DA7AC9"/>
    <w:rsid w:val="00DA7E68"/>
    <w:rsid w:val="00DB004D"/>
    <w:rsid w:val="00DB0195"/>
    <w:rsid w:val="00DB02A0"/>
    <w:rsid w:val="00DB056C"/>
    <w:rsid w:val="00DB0AA7"/>
    <w:rsid w:val="00DB0B29"/>
    <w:rsid w:val="00DB102D"/>
    <w:rsid w:val="00DB1092"/>
    <w:rsid w:val="00DB145F"/>
    <w:rsid w:val="00DB18EF"/>
    <w:rsid w:val="00DB1FF5"/>
    <w:rsid w:val="00DB23AE"/>
    <w:rsid w:val="00DB25EF"/>
    <w:rsid w:val="00DB2BFA"/>
    <w:rsid w:val="00DB2C17"/>
    <w:rsid w:val="00DB358B"/>
    <w:rsid w:val="00DB3771"/>
    <w:rsid w:val="00DB37C1"/>
    <w:rsid w:val="00DB3CBD"/>
    <w:rsid w:val="00DB3F9C"/>
    <w:rsid w:val="00DB3FDD"/>
    <w:rsid w:val="00DB4544"/>
    <w:rsid w:val="00DB4976"/>
    <w:rsid w:val="00DB57A4"/>
    <w:rsid w:val="00DB5ABC"/>
    <w:rsid w:val="00DB618A"/>
    <w:rsid w:val="00DB6296"/>
    <w:rsid w:val="00DB6358"/>
    <w:rsid w:val="00DB63C1"/>
    <w:rsid w:val="00DB6634"/>
    <w:rsid w:val="00DB6A80"/>
    <w:rsid w:val="00DB6ABE"/>
    <w:rsid w:val="00DB6C45"/>
    <w:rsid w:val="00DB6F86"/>
    <w:rsid w:val="00DB71FD"/>
    <w:rsid w:val="00DB7273"/>
    <w:rsid w:val="00DB72ED"/>
    <w:rsid w:val="00DB7748"/>
    <w:rsid w:val="00DB7822"/>
    <w:rsid w:val="00DB7D26"/>
    <w:rsid w:val="00DC06ED"/>
    <w:rsid w:val="00DC0982"/>
    <w:rsid w:val="00DC0B7F"/>
    <w:rsid w:val="00DC0BA1"/>
    <w:rsid w:val="00DC0BFD"/>
    <w:rsid w:val="00DC0EAE"/>
    <w:rsid w:val="00DC0FBF"/>
    <w:rsid w:val="00DC1237"/>
    <w:rsid w:val="00DC1347"/>
    <w:rsid w:val="00DC14A1"/>
    <w:rsid w:val="00DC1652"/>
    <w:rsid w:val="00DC16AB"/>
    <w:rsid w:val="00DC1B1C"/>
    <w:rsid w:val="00DC1E7F"/>
    <w:rsid w:val="00DC1EA5"/>
    <w:rsid w:val="00DC2088"/>
    <w:rsid w:val="00DC21A3"/>
    <w:rsid w:val="00DC21FE"/>
    <w:rsid w:val="00DC2B97"/>
    <w:rsid w:val="00DC2EC1"/>
    <w:rsid w:val="00DC33C7"/>
    <w:rsid w:val="00DC3B03"/>
    <w:rsid w:val="00DC3C11"/>
    <w:rsid w:val="00DC3C14"/>
    <w:rsid w:val="00DC3F01"/>
    <w:rsid w:val="00DC450D"/>
    <w:rsid w:val="00DC468A"/>
    <w:rsid w:val="00DC4CA8"/>
    <w:rsid w:val="00DC4F73"/>
    <w:rsid w:val="00DC4FD3"/>
    <w:rsid w:val="00DC52F8"/>
    <w:rsid w:val="00DC5520"/>
    <w:rsid w:val="00DC5567"/>
    <w:rsid w:val="00DC55DB"/>
    <w:rsid w:val="00DC56D3"/>
    <w:rsid w:val="00DC5891"/>
    <w:rsid w:val="00DC5F0B"/>
    <w:rsid w:val="00DC6047"/>
    <w:rsid w:val="00DC6AE9"/>
    <w:rsid w:val="00DC73C8"/>
    <w:rsid w:val="00DC7461"/>
    <w:rsid w:val="00DC753E"/>
    <w:rsid w:val="00DC7EDC"/>
    <w:rsid w:val="00DC7F5D"/>
    <w:rsid w:val="00DD0E8B"/>
    <w:rsid w:val="00DD1B2B"/>
    <w:rsid w:val="00DD1B65"/>
    <w:rsid w:val="00DD1D4E"/>
    <w:rsid w:val="00DD1E8F"/>
    <w:rsid w:val="00DD2A90"/>
    <w:rsid w:val="00DD2B4E"/>
    <w:rsid w:val="00DD33E1"/>
    <w:rsid w:val="00DD3C2C"/>
    <w:rsid w:val="00DD4431"/>
    <w:rsid w:val="00DD44DA"/>
    <w:rsid w:val="00DD4529"/>
    <w:rsid w:val="00DD4C27"/>
    <w:rsid w:val="00DD57D7"/>
    <w:rsid w:val="00DD5E23"/>
    <w:rsid w:val="00DD6846"/>
    <w:rsid w:val="00DD6B61"/>
    <w:rsid w:val="00DD6EBD"/>
    <w:rsid w:val="00DD7171"/>
    <w:rsid w:val="00DD71A9"/>
    <w:rsid w:val="00DD743E"/>
    <w:rsid w:val="00DD7971"/>
    <w:rsid w:val="00DD79AD"/>
    <w:rsid w:val="00DD7ACF"/>
    <w:rsid w:val="00DD7C40"/>
    <w:rsid w:val="00DD7CE6"/>
    <w:rsid w:val="00DE005F"/>
    <w:rsid w:val="00DE0340"/>
    <w:rsid w:val="00DE06A3"/>
    <w:rsid w:val="00DE0A98"/>
    <w:rsid w:val="00DE0FCD"/>
    <w:rsid w:val="00DE1216"/>
    <w:rsid w:val="00DE1320"/>
    <w:rsid w:val="00DE13D6"/>
    <w:rsid w:val="00DE16F0"/>
    <w:rsid w:val="00DE1B08"/>
    <w:rsid w:val="00DE1CFC"/>
    <w:rsid w:val="00DE1FBD"/>
    <w:rsid w:val="00DE232A"/>
    <w:rsid w:val="00DE3766"/>
    <w:rsid w:val="00DE3A5F"/>
    <w:rsid w:val="00DE3F9A"/>
    <w:rsid w:val="00DE3FAB"/>
    <w:rsid w:val="00DE4469"/>
    <w:rsid w:val="00DE4485"/>
    <w:rsid w:val="00DE45FC"/>
    <w:rsid w:val="00DE471F"/>
    <w:rsid w:val="00DE4B14"/>
    <w:rsid w:val="00DE4E6A"/>
    <w:rsid w:val="00DE4FC6"/>
    <w:rsid w:val="00DE509D"/>
    <w:rsid w:val="00DE53DF"/>
    <w:rsid w:val="00DE54D1"/>
    <w:rsid w:val="00DE5A6D"/>
    <w:rsid w:val="00DE5A7C"/>
    <w:rsid w:val="00DE617B"/>
    <w:rsid w:val="00DE63EA"/>
    <w:rsid w:val="00DE70F7"/>
    <w:rsid w:val="00DE7C77"/>
    <w:rsid w:val="00DE7E53"/>
    <w:rsid w:val="00DE7EB5"/>
    <w:rsid w:val="00DF046F"/>
    <w:rsid w:val="00DF08A6"/>
    <w:rsid w:val="00DF11B8"/>
    <w:rsid w:val="00DF1335"/>
    <w:rsid w:val="00DF16FC"/>
    <w:rsid w:val="00DF1FE8"/>
    <w:rsid w:val="00DF20A5"/>
    <w:rsid w:val="00DF218D"/>
    <w:rsid w:val="00DF22D7"/>
    <w:rsid w:val="00DF2625"/>
    <w:rsid w:val="00DF266D"/>
    <w:rsid w:val="00DF27D3"/>
    <w:rsid w:val="00DF28B2"/>
    <w:rsid w:val="00DF2F6B"/>
    <w:rsid w:val="00DF2F91"/>
    <w:rsid w:val="00DF3154"/>
    <w:rsid w:val="00DF3219"/>
    <w:rsid w:val="00DF3356"/>
    <w:rsid w:val="00DF39FF"/>
    <w:rsid w:val="00DF3CBB"/>
    <w:rsid w:val="00DF402C"/>
    <w:rsid w:val="00DF4803"/>
    <w:rsid w:val="00DF4F9C"/>
    <w:rsid w:val="00DF4FFA"/>
    <w:rsid w:val="00DF58BB"/>
    <w:rsid w:val="00DF58EB"/>
    <w:rsid w:val="00DF59A8"/>
    <w:rsid w:val="00DF5B8A"/>
    <w:rsid w:val="00DF60A2"/>
    <w:rsid w:val="00DF6231"/>
    <w:rsid w:val="00DF6311"/>
    <w:rsid w:val="00DF6368"/>
    <w:rsid w:val="00DF6541"/>
    <w:rsid w:val="00DF66F2"/>
    <w:rsid w:val="00DF6FD0"/>
    <w:rsid w:val="00DF701E"/>
    <w:rsid w:val="00DF70DC"/>
    <w:rsid w:val="00DF74FB"/>
    <w:rsid w:val="00DF7CF9"/>
    <w:rsid w:val="00DF7DCE"/>
    <w:rsid w:val="00DF7E12"/>
    <w:rsid w:val="00E0021B"/>
    <w:rsid w:val="00E00375"/>
    <w:rsid w:val="00E0048F"/>
    <w:rsid w:val="00E004FC"/>
    <w:rsid w:val="00E007E1"/>
    <w:rsid w:val="00E0080F"/>
    <w:rsid w:val="00E00B1B"/>
    <w:rsid w:val="00E00EA8"/>
    <w:rsid w:val="00E00FEE"/>
    <w:rsid w:val="00E0148E"/>
    <w:rsid w:val="00E01500"/>
    <w:rsid w:val="00E01993"/>
    <w:rsid w:val="00E019AF"/>
    <w:rsid w:val="00E01D87"/>
    <w:rsid w:val="00E01EF2"/>
    <w:rsid w:val="00E02661"/>
    <w:rsid w:val="00E02A27"/>
    <w:rsid w:val="00E02DBC"/>
    <w:rsid w:val="00E02F02"/>
    <w:rsid w:val="00E02FDC"/>
    <w:rsid w:val="00E03125"/>
    <w:rsid w:val="00E034E7"/>
    <w:rsid w:val="00E036D7"/>
    <w:rsid w:val="00E03747"/>
    <w:rsid w:val="00E03CAF"/>
    <w:rsid w:val="00E04010"/>
    <w:rsid w:val="00E042E7"/>
    <w:rsid w:val="00E043D3"/>
    <w:rsid w:val="00E045AF"/>
    <w:rsid w:val="00E0468B"/>
    <w:rsid w:val="00E053E0"/>
    <w:rsid w:val="00E05B0A"/>
    <w:rsid w:val="00E05B96"/>
    <w:rsid w:val="00E05BB1"/>
    <w:rsid w:val="00E05C5E"/>
    <w:rsid w:val="00E06340"/>
    <w:rsid w:val="00E064A2"/>
    <w:rsid w:val="00E06DA9"/>
    <w:rsid w:val="00E0739E"/>
    <w:rsid w:val="00E0790F"/>
    <w:rsid w:val="00E07BA0"/>
    <w:rsid w:val="00E07C27"/>
    <w:rsid w:val="00E07C68"/>
    <w:rsid w:val="00E07D5C"/>
    <w:rsid w:val="00E07E93"/>
    <w:rsid w:val="00E07F6A"/>
    <w:rsid w:val="00E1012A"/>
    <w:rsid w:val="00E1023A"/>
    <w:rsid w:val="00E10BB4"/>
    <w:rsid w:val="00E10C78"/>
    <w:rsid w:val="00E10D45"/>
    <w:rsid w:val="00E10D83"/>
    <w:rsid w:val="00E11067"/>
    <w:rsid w:val="00E113CE"/>
    <w:rsid w:val="00E11481"/>
    <w:rsid w:val="00E11502"/>
    <w:rsid w:val="00E119B5"/>
    <w:rsid w:val="00E11E28"/>
    <w:rsid w:val="00E1224F"/>
    <w:rsid w:val="00E12406"/>
    <w:rsid w:val="00E12897"/>
    <w:rsid w:val="00E1291E"/>
    <w:rsid w:val="00E131F8"/>
    <w:rsid w:val="00E131F9"/>
    <w:rsid w:val="00E133FA"/>
    <w:rsid w:val="00E13CA0"/>
    <w:rsid w:val="00E13CC2"/>
    <w:rsid w:val="00E1478B"/>
    <w:rsid w:val="00E151A4"/>
    <w:rsid w:val="00E154E7"/>
    <w:rsid w:val="00E1568C"/>
    <w:rsid w:val="00E15700"/>
    <w:rsid w:val="00E158DB"/>
    <w:rsid w:val="00E15AED"/>
    <w:rsid w:val="00E15BC2"/>
    <w:rsid w:val="00E15D1F"/>
    <w:rsid w:val="00E16012"/>
    <w:rsid w:val="00E16D5A"/>
    <w:rsid w:val="00E17416"/>
    <w:rsid w:val="00E17AE8"/>
    <w:rsid w:val="00E17FC7"/>
    <w:rsid w:val="00E2036E"/>
    <w:rsid w:val="00E212F1"/>
    <w:rsid w:val="00E2161C"/>
    <w:rsid w:val="00E21620"/>
    <w:rsid w:val="00E2175F"/>
    <w:rsid w:val="00E2180D"/>
    <w:rsid w:val="00E21BDC"/>
    <w:rsid w:val="00E21C0C"/>
    <w:rsid w:val="00E21FA0"/>
    <w:rsid w:val="00E22365"/>
    <w:rsid w:val="00E22623"/>
    <w:rsid w:val="00E22FD3"/>
    <w:rsid w:val="00E230A2"/>
    <w:rsid w:val="00E231F0"/>
    <w:rsid w:val="00E23444"/>
    <w:rsid w:val="00E234E1"/>
    <w:rsid w:val="00E23799"/>
    <w:rsid w:val="00E237F8"/>
    <w:rsid w:val="00E23A33"/>
    <w:rsid w:val="00E23C82"/>
    <w:rsid w:val="00E23DA0"/>
    <w:rsid w:val="00E240C0"/>
    <w:rsid w:val="00E2446C"/>
    <w:rsid w:val="00E24559"/>
    <w:rsid w:val="00E246DE"/>
    <w:rsid w:val="00E24799"/>
    <w:rsid w:val="00E25259"/>
    <w:rsid w:val="00E254E9"/>
    <w:rsid w:val="00E25792"/>
    <w:rsid w:val="00E258CB"/>
    <w:rsid w:val="00E258E8"/>
    <w:rsid w:val="00E260F4"/>
    <w:rsid w:val="00E262C9"/>
    <w:rsid w:val="00E26481"/>
    <w:rsid w:val="00E26487"/>
    <w:rsid w:val="00E266AF"/>
    <w:rsid w:val="00E26A66"/>
    <w:rsid w:val="00E26F57"/>
    <w:rsid w:val="00E272D0"/>
    <w:rsid w:val="00E2750B"/>
    <w:rsid w:val="00E275D6"/>
    <w:rsid w:val="00E27A74"/>
    <w:rsid w:val="00E27B50"/>
    <w:rsid w:val="00E27FBD"/>
    <w:rsid w:val="00E3030E"/>
    <w:rsid w:val="00E3038D"/>
    <w:rsid w:val="00E30D67"/>
    <w:rsid w:val="00E31101"/>
    <w:rsid w:val="00E312DB"/>
    <w:rsid w:val="00E31694"/>
    <w:rsid w:val="00E3173B"/>
    <w:rsid w:val="00E31854"/>
    <w:rsid w:val="00E318CC"/>
    <w:rsid w:val="00E319AF"/>
    <w:rsid w:val="00E31D50"/>
    <w:rsid w:val="00E31DC2"/>
    <w:rsid w:val="00E32243"/>
    <w:rsid w:val="00E32320"/>
    <w:rsid w:val="00E32330"/>
    <w:rsid w:val="00E324E4"/>
    <w:rsid w:val="00E3255D"/>
    <w:rsid w:val="00E325AB"/>
    <w:rsid w:val="00E3278F"/>
    <w:rsid w:val="00E32902"/>
    <w:rsid w:val="00E32A77"/>
    <w:rsid w:val="00E330A7"/>
    <w:rsid w:val="00E33321"/>
    <w:rsid w:val="00E33660"/>
    <w:rsid w:val="00E33EAF"/>
    <w:rsid w:val="00E34222"/>
    <w:rsid w:val="00E34360"/>
    <w:rsid w:val="00E3452A"/>
    <w:rsid w:val="00E34763"/>
    <w:rsid w:val="00E34B21"/>
    <w:rsid w:val="00E34BCC"/>
    <w:rsid w:val="00E34CE6"/>
    <w:rsid w:val="00E34DD6"/>
    <w:rsid w:val="00E35373"/>
    <w:rsid w:val="00E356CF"/>
    <w:rsid w:val="00E35747"/>
    <w:rsid w:val="00E35CBE"/>
    <w:rsid w:val="00E35D80"/>
    <w:rsid w:val="00E360FD"/>
    <w:rsid w:val="00E36497"/>
    <w:rsid w:val="00E3653A"/>
    <w:rsid w:val="00E36D04"/>
    <w:rsid w:val="00E36E61"/>
    <w:rsid w:val="00E37A6A"/>
    <w:rsid w:val="00E37B35"/>
    <w:rsid w:val="00E37BA8"/>
    <w:rsid w:val="00E37CDB"/>
    <w:rsid w:val="00E37E11"/>
    <w:rsid w:val="00E37E62"/>
    <w:rsid w:val="00E4013A"/>
    <w:rsid w:val="00E4017C"/>
    <w:rsid w:val="00E401AB"/>
    <w:rsid w:val="00E40234"/>
    <w:rsid w:val="00E406EF"/>
    <w:rsid w:val="00E40A42"/>
    <w:rsid w:val="00E41163"/>
    <w:rsid w:val="00E415EE"/>
    <w:rsid w:val="00E418A5"/>
    <w:rsid w:val="00E41911"/>
    <w:rsid w:val="00E41959"/>
    <w:rsid w:val="00E423E1"/>
    <w:rsid w:val="00E42583"/>
    <w:rsid w:val="00E425AD"/>
    <w:rsid w:val="00E4266F"/>
    <w:rsid w:val="00E427DB"/>
    <w:rsid w:val="00E4291F"/>
    <w:rsid w:val="00E429B6"/>
    <w:rsid w:val="00E429E7"/>
    <w:rsid w:val="00E42A3A"/>
    <w:rsid w:val="00E43152"/>
    <w:rsid w:val="00E4366E"/>
    <w:rsid w:val="00E43696"/>
    <w:rsid w:val="00E43715"/>
    <w:rsid w:val="00E43C05"/>
    <w:rsid w:val="00E43F3F"/>
    <w:rsid w:val="00E4412D"/>
    <w:rsid w:val="00E446B4"/>
    <w:rsid w:val="00E452E5"/>
    <w:rsid w:val="00E453E3"/>
    <w:rsid w:val="00E45400"/>
    <w:rsid w:val="00E45641"/>
    <w:rsid w:val="00E45976"/>
    <w:rsid w:val="00E45B8A"/>
    <w:rsid w:val="00E45D50"/>
    <w:rsid w:val="00E45E52"/>
    <w:rsid w:val="00E4638F"/>
    <w:rsid w:val="00E4651C"/>
    <w:rsid w:val="00E46C18"/>
    <w:rsid w:val="00E46C9A"/>
    <w:rsid w:val="00E46FB2"/>
    <w:rsid w:val="00E47494"/>
    <w:rsid w:val="00E477D8"/>
    <w:rsid w:val="00E479BE"/>
    <w:rsid w:val="00E47FAD"/>
    <w:rsid w:val="00E5021D"/>
    <w:rsid w:val="00E50442"/>
    <w:rsid w:val="00E50610"/>
    <w:rsid w:val="00E5077A"/>
    <w:rsid w:val="00E5086A"/>
    <w:rsid w:val="00E50E56"/>
    <w:rsid w:val="00E50F52"/>
    <w:rsid w:val="00E51272"/>
    <w:rsid w:val="00E5167B"/>
    <w:rsid w:val="00E5172A"/>
    <w:rsid w:val="00E5181A"/>
    <w:rsid w:val="00E5185D"/>
    <w:rsid w:val="00E51C60"/>
    <w:rsid w:val="00E51D3E"/>
    <w:rsid w:val="00E51FAD"/>
    <w:rsid w:val="00E520E4"/>
    <w:rsid w:val="00E5231F"/>
    <w:rsid w:val="00E524BE"/>
    <w:rsid w:val="00E5259B"/>
    <w:rsid w:val="00E52669"/>
    <w:rsid w:val="00E5275F"/>
    <w:rsid w:val="00E52817"/>
    <w:rsid w:val="00E52943"/>
    <w:rsid w:val="00E52ACB"/>
    <w:rsid w:val="00E52D75"/>
    <w:rsid w:val="00E52D84"/>
    <w:rsid w:val="00E52E48"/>
    <w:rsid w:val="00E534D3"/>
    <w:rsid w:val="00E53942"/>
    <w:rsid w:val="00E53993"/>
    <w:rsid w:val="00E53EF3"/>
    <w:rsid w:val="00E53F96"/>
    <w:rsid w:val="00E541D0"/>
    <w:rsid w:val="00E542F2"/>
    <w:rsid w:val="00E54A04"/>
    <w:rsid w:val="00E54CF0"/>
    <w:rsid w:val="00E55095"/>
    <w:rsid w:val="00E5514C"/>
    <w:rsid w:val="00E551CE"/>
    <w:rsid w:val="00E551D8"/>
    <w:rsid w:val="00E55364"/>
    <w:rsid w:val="00E55A11"/>
    <w:rsid w:val="00E55C0E"/>
    <w:rsid w:val="00E55D1C"/>
    <w:rsid w:val="00E55E78"/>
    <w:rsid w:val="00E56477"/>
    <w:rsid w:val="00E56C76"/>
    <w:rsid w:val="00E56F61"/>
    <w:rsid w:val="00E574BD"/>
    <w:rsid w:val="00E57D09"/>
    <w:rsid w:val="00E57D3A"/>
    <w:rsid w:val="00E57D83"/>
    <w:rsid w:val="00E603A1"/>
    <w:rsid w:val="00E60589"/>
    <w:rsid w:val="00E606D1"/>
    <w:rsid w:val="00E60B0D"/>
    <w:rsid w:val="00E60C4B"/>
    <w:rsid w:val="00E610DD"/>
    <w:rsid w:val="00E61192"/>
    <w:rsid w:val="00E613FD"/>
    <w:rsid w:val="00E61669"/>
    <w:rsid w:val="00E6191C"/>
    <w:rsid w:val="00E61B2A"/>
    <w:rsid w:val="00E61B65"/>
    <w:rsid w:val="00E61EA0"/>
    <w:rsid w:val="00E62603"/>
    <w:rsid w:val="00E626D9"/>
    <w:rsid w:val="00E62809"/>
    <w:rsid w:val="00E62981"/>
    <w:rsid w:val="00E62D82"/>
    <w:rsid w:val="00E63219"/>
    <w:rsid w:val="00E63825"/>
    <w:rsid w:val="00E63943"/>
    <w:rsid w:val="00E640F9"/>
    <w:rsid w:val="00E645EE"/>
    <w:rsid w:val="00E64CD6"/>
    <w:rsid w:val="00E64E2A"/>
    <w:rsid w:val="00E64E6A"/>
    <w:rsid w:val="00E65A54"/>
    <w:rsid w:val="00E65AD0"/>
    <w:rsid w:val="00E65EF1"/>
    <w:rsid w:val="00E65F53"/>
    <w:rsid w:val="00E660E0"/>
    <w:rsid w:val="00E66377"/>
    <w:rsid w:val="00E6648B"/>
    <w:rsid w:val="00E665B8"/>
    <w:rsid w:val="00E666FA"/>
    <w:rsid w:val="00E667DD"/>
    <w:rsid w:val="00E66C9B"/>
    <w:rsid w:val="00E66F15"/>
    <w:rsid w:val="00E66FDF"/>
    <w:rsid w:val="00E672BA"/>
    <w:rsid w:val="00E675A4"/>
    <w:rsid w:val="00E67B7C"/>
    <w:rsid w:val="00E67D95"/>
    <w:rsid w:val="00E67FB7"/>
    <w:rsid w:val="00E704AF"/>
    <w:rsid w:val="00E7089D"/>
    <w:rsid w:val="00E70E18"/>
    <w:rsid w:val="00E70EDB"/>
    <w:rsid w:val="00E70FDA"/>
    <w:rsid w:val="00E715BA"/>
    <w:rsid w:val="00E71BFD"/>
    <w:rsid w:val="00E72079"/>
    <w:rsid w:val="00E7223C"/>
    <w:rsid w:val="00E72350"/>
    <w:rsid w:val="00E724AB"/>
    <w:rsid w:val="00E729CB"/>
    <w:rsid w:val="00E72DF5"/>
    <w:rsid w:val="00E72E66"/>
    <w:rsid w:val="00E730F0"/>
    <w:rsid w:val="00E7324E"/>
    <w:rsid w:val="00E733D2"/>
    <w:rsid w:val="00E735A8"/>
    <w:rsid w:val="00E7374F"/>
    <w:rsid w:val="00E73838"/>
    <w:rsid w:val="00E73AFE"/>
    <w:rsid w:val="00E73DAC"/>
    <w:rsid w:val="00E7451E"/>
    <w:rsid w:val="00E746DD"/>
    <w:rsid w:val="00E747E4"/>
    <w:rsid w:val="00E749EC"/>
    <w:rsid w:val="00E74D03"/>
    <w:rsid w:val="00E74E48"/>
    <w:rsid w:val="00E74EE2"/>
    <w:rsid w:val="00E75202"/>
    <w:rsid w:val="00E7525C"/>
    <w:rsid w:val="00E75447"/>
    <w:rsid w:val="00E7574A"/>
    <w:rsid w:val="00E757F2"/>
    <w:rsid w:val="00E75BA0"/>
    <w:rsid w:val="00E75E09"/>
    <w:rsid w:val="00E75FAE"/>
    <w:rsid w:val="00E76129"/>
    <w:rsid w:val="00E76584"/>
    <w:rsid w:val="00E76738"/>
    <w:rsid w:val="00E76836"/>
    <w:rsid w:val="00E76A48"/>
    <w:rsid w:val="00E76B57"/>
    <w:rsid w:val="00E77180"/>
    <w:rsid w:val="00E771E6"/>
    <w:rsid w:val="00E772F7"/>
    <w:rsid w:val="00E77309"/>
    <w:rsid w:val="00E775CB"/>
    <w:rsid w:val="00E77BE1"/>
    <w:rsid w:val="00E77DE8"/>
    <w:rsid w:val="00E80813"/>
    <w:rsid w:val="00E80B8A"/>
    <w:rsid w:val="00E80E28"/>
    <w:rsid w:val="00E80F2B"/>
    <w:rsid w:val="00E812B1"/>
    <w:rsid w:val="00E813F4"/>
    <w:rsid w:val="00E8141A"/>
    <w:rsid w:val="00E81592"/>
    <w:rsid w:val="00E81866"/>
    <w:rsid w:val="00E818D9"/>
    <w:rsid w:val="00E81A14"/>
    <w:rsid w:val="00E81A45"/>
    <w:rsid w:val="00E81A64"/>
    <w:rsid w:val="00E81B92"/>
    <w:rsid w:val="00E81F9E"/>
    <w:rsid w:val="00E82281"/>
    <w:rsid w:val="00E823DD"/>
    <w:rsid w:val="00E823F3"/>
    <w:rsid w:val="00E82449"/>
    <w:rsid w:val="00E827D3"/>
    <w:rsid w:val="00E82B48"/>
    <w:rsid w:val="00E82BFF"/>
    <w:rsid w:val="00E8301C"/>
    <w:rsid w:val="00E83070"/>
    <w:rsid w:val="00E83816"/>
    <w:rsid w:val="00E83E56"/>
    <w:rsid w:val="00E83E92"/>
    <w:rsid w:val="00E83EA8"/>
    <w:rsid w:val="00E8415B"/>
    <w:rsid w:val="00E84220"/>
    <w:rsid w:val="00E84521"/>
    <w:rsid w:val="00E847AB"/>
    <w:rsid w:val="00E84862"/>
    <w:rsid w:val="00E8496B"/>
    <w:rsid w:val="00E84A35"/>
    <w:rsid w:val="00E84CF7"/>
    <w:rsid w:val="00E8513B"/>
    <w:rsid w:val="00E853B7"/>
    <w:rsid w:val="00E8589D"/>
    <w:rsid w:val="00E85999"/>
    <w:rsid w:val="00E85AF2"/>
    <w:rsid w:val="00E85D24"/>
    <w:rsid w:val="00E8600D"/>
    <w:rsid w:val="00E86CE6"/>
    <w:rsid w:val="00E86D13"/>
    <w:rsid w:val="00E86FB1"/>
    <w:rsid w:val="00E87527"/>
    <w:rsid w:val="00E876E2"/>
    <w:rsid w:val="00E87A6B"/>
    <w:rsid w:val="00E87AFA"/>
    <w:rsid w:val="00E87B92"/>
    <w:rsid w:val="00E87DEA"/>
    <w:rsid w:val="00E87E20"/>
    <w:rsid w:val="00E87EC2"/>
    <w:rsid w:val="00E9064D"/>
    <w:rsid w:val="00E90686"/>
    <w:rsid w:val="00E907D1"/>
    <w:rsid w:val="00E908DA"/>
    <w:rsid w:val="00E90CC8"/>
    <w:rsid w:val="00E91750"/>
    <w:rsid w:val="00E919F5"/>
    <w:rsid w:val="00E91A79"/>
    <w:rsid w:val="00E91ECC"/>
    <w:rsid w:val="00E91F9C"/>
    <w:rsid w:val="00E92663"/>
    <w:rsid w:val="00E92928"/>
    <w:rsid w:val="00E92C33"/>
    <w:rsid w:val="00E92DE3"/>
    <w:rsid w:val="00E92F32"/>
    <w:rsid w:val="00E93080"/>
    <w:rsid w:val="00E93365"/>
    <w:rsid w:val="00E933A3"/>
    <w:rsid w:val="00E936BC"/>
    <w:rsid w:val="00E93C13"/>
    <w:rsid w:val="00E9402E"/>
    <w:rsid w:val="00E94267"/>
    <w:rsid w:val="00E942A7"/>
    <w:rsid w:val="00E94518"/>
    <w:rsid w:val="00E9451C"/>
    <w:rsid w:val="00E94600"/>
    <w:rsid w:val="00E94665"/>
    <w:rsid w:val="00E94A12"/>
    <w:rsid w:val="00E95159"/>
    <w:rsid w:val="00E95576"/>
    <w:rsid w:val="00E957E2"/>
    <w:rsid w:val="00E957F8"/>
    <w:rsid w:val="00E9588B"/>
    <w:rsid w:val="00E962F8"/>
    <w:rsid w:val="00E96573"/>
    <w:rsid w:val="00E965DA"/>
    <w:rsid w:val="00E968DF"/>
    <w:rsid w:val="00E96A3B"/>
    <w:rsid w:val="00E96AA2"/>
    <w:rsid w:val="00E96C14"/>
    <w:rsid w:val="00E9703A"/>
    <w:rsid w:val="00E976D6"/>
    <w:rsid w:val="00E9771A"/>
    <w:rsid w:val="00E97C84"/>
    <w:rsid w:val="00E97CC9"/>
    <w:rsid w:val="00E97CF2"/>
    <w:rsid w:val="00EA0327"/>
    <w:rsid w:val="00EA0338"/>
    <w:rsid w:val="00EA04B6"/>
    <w:rsid w:val="00EA05CE"/>
    <w:rsid w:val="00EA079E"/>
    <w:rsid w:val="00EA07B2"/>
    <w:rsid w:val="00EA07CF"/>
    <w:rsid w:val="00EA0A02"/>
    <w:rsid w:val="00EA0EBB"/>
    <w:rsid w:val="00EA1431"/>
    <w:rsid w:val="00EA195E"/>
    <w:rsid w:val="00EA1BB8"/>
    <w:rsid w:val="00EA1DD9"/>
    <w:rsid w:val="00EA1F91"/>
    <w:rsid w:val="00EA20D1"/>
    <w:rsid w:val="00EA2705"/>
    <w:rsid w:val="00EA2A0C"/>
    <w:rsid w:val="00EA2DD1"/>
    <w:rsid w:val="00EA308D"/>
    <w:rsid w:val="00EA310C"/>
    <w:rsid w:val="00EA3223"/>
    <w:rsid w:val="00EA333D"/>
    <w:rsid w:val="00EA3525"/>
    <w:rsid w:val="00EA35F9"/>
    <w:rsid w:val="00EA3787"/>
    <w:rsid w:val="00EA39D1"/>
    <w:rsid w:val="00EA3A64"/>
    <w:rsid w:val="00EA3CEB"/>
    <w:rsid w:val="00EA4077"/>
    <w:rsid w:val="00EA409F"/>
    <w:rsid w:val="00EA4464"/>
    <w:rsid w:val="00EA44B2"/>
    <w:rsid w:val="00EA4BAC"/>
    <w:rsid w:val="00EA4BD4"/>
    <w:rsid w:val="00EA4D6E"/>
    <w:rsid w:val="00EA52CC"/>
    <w:rsid w:val="00EA58F7"/>
    <w:rsid w:val="00EA5A73"/>
    <w:rsid w:val="00EA5EE7"/>
    <w:rsid w:val="00EA5FC2"/>
    <w:rsid w:val="00EA6655"/>
    <w:rsid w:val="00EA672B"/>
    <w:rsid w:val="00EA6820"/>
    <w:rsid w:val="00EA697A"/>
    <w:rsid w:val="00EA6C5D"/>
    <w:rsid w:val="00EA7292"/>
    <w:rsid w:val="00EA7295"/>
    <w:rsid w:val="00EA77E2"/>
    <w:rsid w:val="00EA7CD2"/>
    <w:rsid w:val="00EB07F0"/>
    <w:rsid w:val="00EB0A7F"/>
    <w:rsid w:val="00EB0B18"/>
    <w:rsid w:val="00EB0D6E"/>
    <w:rsid w:val="00EB14F6"/>
    <w:rsid w:val="00EB15BE"/>
    <w:rsid w:val="00EB1CB8"/>
    <w:rsid w:val="00EB1DBB"/>
    <w:rsid w:val="00EB1FB2"/>
    <w:rsid w:val="00EB2138"/>
    <w:rsid w:val="00EB2140"/>
    <w:rsid w:val="00EB2194"/>
    <w:rsid w:val="00EB2932"/>
    <w:rsid w:val="00EB2970"/>
    <w:rsid w:val="00EB2A60"/>
    <w:rsid w:val="00EB2CC5"/>
    <w:rsid w:val="00EB2D69"/>
    <w:rsid w:val="00EB2DE7"/>
    <w:rsid w:val="00EB303E"/>
    <w:rsid w:val="00EB3176"/>
    <w:rsid w:val="00EB355F"/>
    <w:rsid w:val="00EB392C"/>
    <w:rsid w:val="00EB3968"/>
    <w:rsid w:val="00EB398D"/>
    <w:rsid w:val="00EB3B2E"/>
    <w:rsid w:val="00EB3C71"/>
    <w:rsid w:val="00EB3CCD"/>
    <w:rsid w:val="00EB4314"/>
    <w:rsid w:val="00EB47DE"/>
    <w:rsid w:val="00EB4EFE"/>
    <w:rsid w:val="00EB543E"/>
    <w:rsid w:val="00EB555E"/>
    <w:rsid w:val="00EB56D2"/>
    <w:rsid w:val="00EB5EDD"/>
    <w:rsid w:val="00EB6096"/>
    <w:rsid w:val="00EB635A"/>
    <w:rsid w:val="00EB6381"/>
    <w:rsid w:val="00EB63B7"/>
    <w:rsid w:val="00EB6495"/>
    <w:rsid w:val="00EB673D"/>
    <w:rsid w:val="00EB6AA5"/>
    <w:rsid w:val="00EB7080"/>
    <w:rsid w:val="00EB7086"/>
    <w:rsid w:val="00EB71D5"/>
    <w:rsid w:val="00EB73E0"/>
    <w:rsid w:val="00EB764F"/>
    <w:rsid w:val="00EB76CD"/>
    <w:rsid w:val="00EB7C4E"/>
    <w:rsid w:val="00EB7E64"/>
    <w:rsid w:val="00EB7F1C"/>
    <w:rsid w:val="00EC005D"/>
    <w:rsid w:val="00EC0EE5"/>
    <w:rsid w:val="00EC11BA"/>
    <w:rsid w:val="00EC14A4"/>
    <w:rsid w:val="00EC1990"/>
    <w:rsid w:val="00EC19F1"/>
    <w:rsid w:val="00EC1C6A"/>
    <w:rsid w:val="00EC1C9D"/>
    <w:rsid w:val="00EC1E0B"/>
    <w:rsid w:val="00EC2416"/>
    <w:rsid w:val="00EC2DB7"/>
    <w:rsid w:val="00EC3443"/>
    <w:rsid w:val="00EC3591"/>
    <w:rsid w:val="00EC36B7"/>
    <w:rsid w:val="00EC4D5E"/>
    <w:rsid w:val="00EC4E8F"/>
    <w:rsid w:val="00EC4EF3"/>
    <w:rsid w:val="00EC53D1"/>
    <w:rsid w:val="00EC5872"/>
    <w:rsid w:val="00EC5A3D"/>
    <w:rsid w:val="00EC5C7E"/>
    <w:rsid w:val="00EC64B5"/>
    <w:rsid w:val="00EC6626"/>
    <w:rsid w:val="00EC6C69"/>
    <w:rsid w:val="00EC6E22"/>
    <w:rsid w:val="00EC6F91"/>
    <w:rsid w:val="00EC7088"/>
    <w:rsid w:val="00EC7117"/>
    <w:rsid w:val="00EC7136"/>
    <w:rsid w:val="00EC769C"/>
    <w:rsid w:val="00ED005A"/>
    <w:rsid w:val="00ED0363"/>
    <w:rsid w:val="00ED046E"/>
    <w:rsid w:val="00ED0948"/>
    <w:rsid w:val="00ED0A05"/>
    <w:rsid w:val="00ED0D1A"/>
    <w:rsid w:val="00ED0DB8"/>
    <w:rsid w:val="00ED10F1"/>
    <w:rsid w:val="00ED1190"/>
    <w:rsid w:val="00ED130A"/>
    <w:rsid w:val="00ED1787"/>
    <w:rsid w:val="00ED18D1"/>
    <w:rsid w:val="00ED19B6"/>
    <w:rsid w:val="00ED1C6F"/>
    <w:rsid w:val="00ED1CE5"/>
    <w:rsid w:val="00ED2109"/>
    <w:rsid w:val="00ED2207"/>
    <w:rsid w:val="00ED283C"/>
    <w:rsid w:val="00ED2897"/>
    <w:rsid w:val="00ED2CFB"/>
    <w:rsid w:val="00ED2DE3"/>
    <w:rsid w:val="00ED2EF2"/>
    <w:rsid w:val="00ED339D"/>
    <w:rsid w:val="00ED345C"/>
    <w:rsid w:val="00ED3813"/>
    <w:rsid w:val="00ED3CF6"/>
    <w:rsid w:val="00ED4090"/>
    <w:rsid w:val="00ED4130"/>
    <w:rsid w:val="00ED43CE"/>
    <w:rsid w:val="00ED4E9E"/>
    <w:rsid w:val="00ED5637"/>
    <w:rsid w:val="00ED584D"/>
    <w:rsid w:val="00ED591A"/>
    <w:rsid w:val="00ED5FDD"/>
    <w:rsid w:val="00ED6057"/>
    <w:rsid w:val="00ED60BC"/>
    <w:rsid w:val="00ED6A54"/>
    <w:rsid w:val="00ED6A58"/>
    <w:rsid w:val="00ED6C8F"/>
    <w:rsid w:val="00ED6DC2"/>
    <w:rsid w:val="00ED6DF7"/>
    <w:rsid w:val="00ED6EC3"/>
    <w:rsid w:val="00ED71EE"/>
    <w:rsid w:val="00ED7538"/>
    <w:rsid w:val="00ED7DEC"/>
    <w:rsid w:val="00EE0135"/>
    <w:rsid w:val="00EE02B4"/>
    <w:rsid w:val="00EE0649"/>
    <w:rsid w:val="00EE080F"/>
    <w:rsid w:val="00EE08C0"/>
    <w:rsid w:val="00EE0A42"/>
    <w:rsid w:val="00EE0C3D"/>
    <w:rsid w:val="00EE10F2"/>
    <w:rsid w:val="00EE10F3"/>
    <w:rsid w:val="00EE17C4"/>
    <w:rsid w:val="00EE1AEF"/>
    <w:rsid w:val="00EE1B5C"/>
    <w:rsid w:val="00EE1CF6"/>
    <w:rsid w:val="00EE1EBA"/>
    <w:rsid w:val="00EE2158"/>
    <w:rsid w:val="00EE2B0B"/>
    <w:rsid w:val="00EE2B2D"/>
    <w:rsid w:val="00EE2CF4"/>
    <w:rsid w:val="00EE2EAC"/>
    <w:rsid w:val="00EE2EDC"/>
    <w:rsid w:val="00EE3331"/>
    <w:rsid w:val="00EE33A4"/>
    <w:rsid w:val="00EE3434"/>
    <w:rsid w:val="00EE3824"/>
    <w:rsid w:val="00EE3929"/>
    <w:rsid w:val="00EE3BF7"/>
    <w:rsid w:val="00EE40CA"/>
    <w:rsid w:val="00EE4224"/>
    <w:rsid w:val="00EE42EF"/>
    <w:rsid w:val="00EE44F7"/>
    <w:rsid w:val="00EE5EE0"/>
    <w:rsid w:val="00EE5FF7"/>
    <w:rsid w:val="00EE6286"/>
    <w:rsid w:val="00EE6B26"/>
    <w:rsid w:val="00EE6E28"/>
    <w:rsid w:val="00EE6E74"/>
    <w:rsid w:val="00EE71FC"/>
    <w:rsid w:val="00EE76AD"/>
    <w:rsid w:val="00EE78E8"/>
    <w:rsid w:val="00EE79D7"/>
    <w:rsid w:val="00EE7A03"/>
    <w:rsid w:val="00EF029D"/>
    <w:rsid w:val="00EF0335"/>
    <w:rsid w:val="00EF068C"/>
    <w:rsid w:val="00EF07FA"/>
    <w:rsid w:val="00EF0AAA"/>
    <w:rsid w:val="00EF0FDA"/>
    <w:rsid w:val="00EF135B"/>
    <w:rsid w:val="00EF1D17"/>
    <w:rsid w:val="00EF1E37"/>
    <w:rsid w:val="00EF20C3"/>
    <w:rsid w:val="00EF21B4"/>
    <w:rsid w:val="00EF36FE"/>
    <w:rsid w:val="00EF3924"/>
    <w:rsid w:val="00EF3F0D"/>
    <w:rsid w:val="00EF40F6"/>
    <w:rsid w:val="00EF4385"/>
    <w:rsid w:val="00EF442A"/>
    <w:rsid w:val="00EF4833"/>
    <w:rsid w:val="00EF492A"/>
    <w:rsid w:val="00EF5137"/>
    <w:rsid w:val="00EF51B7"/>
    <w:rsid w:val="00EF5432"/>
    <w:rsid w:val="00EF58F5"/>
    <w:rsid w:val="00EF6244"/>
    <w:rsid w:val="00EF6355"/>
    <w:rsid w:val="00EF6522"/>
    <w:rsid w:val="00EF68E2"/>
    <w:rsid w:val="00EF6B1B"/>
    <w:rsid w:val="00EF718D"/>
    <w:rsid w:val="00EF76AD"/>
    <w:rsid w:val="00EF78CA"/>
    <w:rsid w:val="00EF7967"/>
    <w:rsid w:val="00F0022B"/>
    <w:rsid w:val="00F00C11"/>
    <w:rsid w:val="00F00C88"/>
    <w:rsid w:val="00F00ECC"/>
    <w:rsid w:val="00F0196F"/>
    <w:rsid w:val="00F01ABA"/>
    <w:rsid w:val="00F0234C"/>
    <w:rsid w:val="00F027F6"/>
    <w:rsid w:val="00F02A5C"/>
    <w:rsid w:val="00F02B05"/>
    <w:rsid w:val="00F02EB8"/>
    <w:rsid w:val="00F02ED2"/>
    <w:rsid w:val="00F02F6D"/>
    <w:rsid w:val="00F038B6"/>
    <w:rsid w:val="00F03FF7"/>
    <w:rsid w:val="00F0428C"/>
    <w:rsid w:val="00F043D7"/>
    <w:rsid w:val="00F049E7"/>
    <w:rsid w:val="00F04C12"/>
    <w:rsid w:val="00F04DC7"/>
    <w:rsid w:val="00F04E53"/>
    <w:rsid w:val="00F04EA8"/>
    <w:rsid w:val="00F050E7"/>
    <w:rsid w:val="00F05292"/>
    <w:rsid w:val="00F0544B"/>
    <w:rsid w:val="00F05730"/>
    <w:rsid w:val="00F05B9D"/>
    <w:rsid w:val="00F06647"/>
    <w:rsid w:val="00F068C6"/>
    <w:rsid w:val="00F069CD"/>
    <w:rsid w:val="00F06CEF"/>
    <w:rsid w:val="00F06F4B"/>
    <w:rsid w:val="00F07214"/>
    <w:rsid w:val="00F0757D"/>
    <w:rsid w:val="00F07DA6"/>
    <w:rsid w:val="00F07FA5"/>
    <w:rsid w:val="00F100E5"/>
    <w:rsid w:val="00F10372"/>
    <w:rsid w:val="00F1046A"/>
    <w:rsid w:val="00F10815"/>
    <w:rsid w:val="00F109FF"/>
    <w:rsid w:val="00F10AC8"/>
    <w:rsid w:val="00F10D14"/>
    <w:rsid w:val="00F115D6"/>
    <w:rsid w:val="00F11CE3"/>
    <w:rsid w:val="00F11EF3"/>
    <w:rsid w:val="00F11FFF"/>
    <w:rsid w:val="00F12744"/>
    <w:rsid w:val="00F1278D"/>
    <w:rsid w:val="00F128C5"/>
    <w:rsid w:val="00F131BC"/>
    <w:rsid w:val="00F134C9"/>
    <w:rsid w:val="00F13521"/>
    <w:rsid w:val="00F13964"/>
    <w:rsid w:val="00F13BB1"/>
    <w:rsid w:val="00F13E6D"/>
    <w:rsid w:val="00F13FFA"/>
    <w:rsid w:val="00F14256"/>
    <w:rsid w:val="00F145C2"/>
    <w:rsid w:val="00F14813"/>
    <w:rsid w:val="00F14820"/>
    <w:rsid w:val="00F14E1A"/>
    <w:rsid w:val="00F14EE8"/>
    <w:rsid w:val="00F153C2"/>
    <w:rsid w:val="00F153FF"/>
    <w:rsid w:val="00F15461"/>
    <w:rsid w:val="00F15610"/>
    <w:rsid w:val="00F15873"/>
    <w:rsid w:val="00F15BEB"/>
    <w:rsid w:val="00F15FED"/>
    <w:rsid w:val="00F161DF"/>
    <w:rsid w:val="00F162AB"/>
    <w:rsid w:val="00F16366"/>
    <w:rsid w:val="00F1683F"/>
    <w:rsid w:val="00F170EB"/>
    <w:rsid w:val="00F171A7"/>
    <w:rsid w:val="00F17517"/>
    <w:rsid w:val="00F17781"/>
    <w:rsid w:val="00F17B95"/>
    <w:rsid w:val="00F17ECD"/>
    <w:rsid w:val="00F20106"/>
    <w:rsid w:val="00F2051C"/>
    <w:rsid w:val="00F206BD"/>
    <w:rsid w:val="00F207AA"/>
    <w:rsid w:val="00F20AFB"/>
    <w:rsid w:val="00F20E00"/>
    <w:rsid w:val="00F2101D"/>
    <w:rsid w:val="00F21229"/>
    <w:rsid w:val="00F217BA"/>
    <w:rsid w:val="00F21EA5"/>
    <w:rsid w:val="00F21F74"/>
    <w:rsid w:val="00F2236D"/>
    <w:rsid w:val="00F22920"/>
    <w:rsid w:val="00F22D11"/>
    <w:rsid w:val="00F22F6C"/>
    <w:rsid w:val="00F231EC"/>
    <w:rsid w:val="00F2320D"/>
    <w:rsid w:val="00F23990"/>
    <w:rsid w:val="00F24410"/>
    <w:rsid w:val="00F2484B"/>
    <w:rsid w:val="00F2528A"/>
    <w:rsid w:val="00F2554F"/>
    <w:rsid w:val="00F25770"/>
    <w:rsid w:val="00F25AB6"/>
    <w:rsid w:val="00F25B48"/>
    <w:rsid w:val="00F25E69"/>
    <w:rsid w:val="00F261DF"/>
    <w:rsid w:val="00F264EA"/>
    <w:rsid w:val="00F2672C"/>
    <w:rsid w:val="00F26C1E"/>
    <w:rsid w:val="00F272B9"/>
    <w:rsid w:val="00F27B54"/>
    <w:rsid w:val="00F27BC1"/>
    <w:rsid w:val="00F27ED9"/>
    <w:rsid w:val="00F27F0F"/>
    <w:rsid w:val="00F3042C"/>
    <w:rsid w:val="00F30B3E"/>
    <w:rsid w:val="00F30ED3"/>
    <w:rsid w:val="00F310F8"/>
    <w:rsid w:val="00F311F2"/>
    <w:rsid w:val="00F3147E"/>
    <w:rsid w:val="00F315C9"/>
    <w:rsid w:val="00F316B4"/>
    <w:rsid w:val="00F31784"/>
    <w:rsid w:val="00F31C02"/>
    <w:rsid w:val="00F32011"/>
    <w:rsid w:val="00F321E0"/>
    <w:rsid w:val="00F322D4"/>
    <w:rsid w:val="00F324B7"/>
    <w:rsid w:val="00F32CE7"/>
    <w:rsid w:val="00F33AE5"/>
    <w:rsid w:val="00F33D5C"/>
    <w:rsid w:val="00F342D0"/>
    <w:rsid w:val="00F34411"/>
    <w:rsid w:val="00F349AE"/>
    <w:rsid w:val="00F34AF0"/>
    <w:rsid w:val="00F34B56"/>
    <w:rsid w:val="00F34C1C"/>
    <w:rsid w:val="00F34C7D"/>
    <w:rsid w:val="00F3555B"/>
    <w:rsid w:val="00F3556B"/>
    <w:rsid w:val="00F35724"/>
    <w:rsid w:val="00F3591B"/>
    <w:rsid w:val="00F359E9"/>
    <w:rsid w:val="00F35C35"/>
    <w:rsid w:val="00F35C51"/>
    <w:rsid w:val="00F35E36"/>
    <w:rsid w:val="00F35E86"/>
    <w:rsid w:val="00F363CB"/>
    <w:rsid w:val="00F36434"/>
    <w:rsid w:val="00F364AE"/>
    <w:rsid w:val="00F367BF"/>
    <w:rsid w:val="00F36D57"/>
    <w:rsid w:val="00F36D63"/>
    <w:rsid w:val="00F36E4B"/>
    <w:rsid w:val="00F373D4"/>
    <w:rsid w:val="00F375DA"/>
    <w:rsid w:val="00F378DD"/>
    <w:rsid w:val="00F378EB"/>
    <w:rsid w:val="00F400D0"/>
    <w:rsid w:val="00F4016C"/>
    <w:rsid w:val="00F40491"/>
    <w:rsid w:val="00F40600"/>
    <w:rsid w:val="00F40B3C"/>
    <w:rsid w:val="00F40BBE"/>
    <w:rsid w:val="00F40CA3"/>
    <w:rsid w:val="00F40E99"/>
    <w:rsid w:val="00F41121"/>
    <w:rsid w:val="00F41640"/>
    <w:rsid w:val="00F41687"/>
    <w:rsid w:val="00F4177C"/>
    <w:rsid w:val="00F418F5"/>
    <w:rsid w:val="00F41915"/>
    <w:rsid w:val="00F41FA9"/>
    <w:rsid w:val="00F425CD"/>
    <w:rsid w:val="00F42705"/>
    <w:rsid w:val="00F4277C"/>
    <w:rsid w:val="00F427E5"/>
    <w:rsid w:val="00F428CC"/>
    <w:rsid w:val="00F42CF6"/>
    <w:rsid w:val="00F42F0D"/>
    <w:rsid w:val="00F43143"/>
    <w:rsid w:val="00F431B5"/>
    <w:rsid w:val="00F43626"/>
    <w:rsid w:val="00F437B2"/>
    <w:rsid w:val="00F43A36"/>
    <w:rsid w:val="00F43B44"/>
    <w:rsid w:val="00F43BD2"/>
    <w:rsid w:val="00F43BE9"/>
    <w:rsid w:val="00F43C77"/>
    <w:rsid w:val="00F43FCC"/>
    <w:rsid w:val="00F4405E"/>
    <w:rsid w:val="00F445F0"/>
    <w:rsid w:val="00F44632"/>
    <w:rsid w:val="00F449B6"/>
    <w:rsid w:val="00F44CE8"/>
    <w:rsid w:val="00F453CB"/>
    <w:rsid w:val="00F45579"/>
    <w:rsid w:val="00F45756"/>
    <w:rsid w:val="00F45A8C"/>
    <w:rsid w:val="00F45BF1"/>
    <w:rsid w:val="00F45E5F"/>
    <w:rsid w:val="00F4605D"/>
    <w:rsid w:val="00F463E8"/>
    <w:rsid w:val="00F46BBB"/>
    <w:rsid w:val="00F46C0E"/>
    <w:rsid w:val="00F4702A"/>
    <w:rsid w:val="00F471F0"/>
    <w:rsid w:val="00F4750D"/>
    <w:rsid w:val="00F477EA"/>
    <w:rsid w:val="00F47A5B"/>
    <w:rsid w:val="00F47EFF"/>
    <w:rsid w:val="00F5005A"/>
    <w:rsid w:val="00F503A4"/>
    <w:rsid w:val="00F5048C"/>
    <w:rsid w:val="00F50543"/>
    <w:rsid w:val="00F505BF"/>
    <w:rsid w:val="00F50676"/>
    <w:rsid w:val="00F50841"/>
    <w:rsid w:val="00F50874"/>
    <w:rsid w:val="00F50A5A"/>
    <w:rsid w:val="00F50EE0"/>
    <w:rsid w:val="00F51058"/>
    <w:rsid w:val="00F51185"/>
    <w:rsid w:val="00F5150A"/>
    <w:rsid w:val="00F518A3"/>
    <w:rsid w:val="00F518D9"/>
    <w:rsid w:val="00F51B39"/>
    <w:rsid w:val="00F526A0"/>
    <w:rsid w:val="00F52899"/>
    <w:rsid w:val="00F52B81"/>
    <w:rsid w:val="00F52C8E"/>
    <w:rsid w:val="00F53049"/>
    <w:rsid w:val="00F5365E"/>
    <w:rsid w:val="00F53AB1"/>
    <w:rsid w:val="00F53C70"/>
    <w:rsid w:val="00F540F5"/>
    <w:rsid w:val="00F5433B"/>
    <w:rsid w:val="00F54575"/>
    <w:rsid w:val="00F546F5"/>
    <w:rsid w:val="00F54C7F"/>
    <w:rsid w:val="00F54D71"/>
    <w:rsid w:val="00F54DA7"/>
    <w:rsid w:val="00F55277"/>
    <w:rsid w:val="00F55692"/>
    <w:rsid w:val="00F563C7"/>
    <w:rsid w:val="00F56437"/>
    <w:rsid w:val="00F566EC"/>
    <w:rsid w:val="00F568EA"/>
    <w:rsid w:val="00F56D06"/>
    <w:rsid w:val="00F56EC6"/>
    <w:rsid w:val="00F57383"/>
    <w:rsid w:val="00F57738"/>
    <w:rsid w:val="00F57B2F"/>
    <w:rsid w:val="00F57F6A"/>
    <w:rsid w:val="00F60018"/>
    <w:rsid w:val="00F6001F"/>
    <w:rsid w:val="00F6050E"/>
    <w:rsid w:val="00F60673"/>
    <w:rsid w:val="00F607BA"/>
    <w:rsid w:val="00F60974"/>
    <w:rsid w:val="00F60BE9"/>
    <w:rsid w:val="00F60CA6"/>
    <w:rsid w:val="00F60D7E"/>
    <w:rsid w:val="00F60E71"/>
    <w:rsid w:val="00F60F37"/>
    <w:rsid w:val="00F6109B"/>
    <w:rsid w:val="00F6123F"/>
    <w:rsid w:val="00F617F7"/>
    <w:rsid w:val="00F6181A"/>
    <w:rsid w:val="00F61879"/>
    <w:rsid w:val="00F6194C"/>
    <w:rsid w:val="00F6196A"/>
    <w:rsid w:val="00F61E54"/>
    <w:rsid w:val="00F61EDA"/>
    <w:rsid w:val="00F62290"/>
    <w:rsid w:val="00F6252C"/>
    <w:rsid w:val="00F625C4"/>
    <w:rsid w:val="00F62697"/>
    <w:rsid w:val="00F62896"/>
    <w:rsid w:val="00F636C6"/>
    <w:rsid w:val="00F63755"/>
    <w:rsid w:val="00F638DE"/>
    <w:rsid w:val="00F63AF7"/>
    <w:rsid w:val="00F63F2C"/>
    <w:rsid w:val="00F64079"/>
    <w:rsid w:val="00F64191"/>
    <w:rsid w:val="00F646EA"/>
    <w:rsid w:val="00F64859"/>
    <w:rsid w:val="00F64BAE"/>
    <w:rsid w:val="00F64E4D"/>
    <w:rsid w:val="00F64EA5"/>
    <w:rsid w:val="00F65481"/>
    <w:rsid w:val="00F65857"/>
    <w:rsid w:val="00F6585F"/>
    <w:rsid w:val="00F658BB"/>
    <w:rsid w:val="00F66000"/>
    <w:rsid w:val="00F66184"/>
    <w:rsid w:val="00F66322"/>
    <w:rsid w:val="00F66D4C"/>
    <w:rsid w:val="00F674EF"/>
    <w:rsid w:val="00F67725"/>
    <w:rsid w:val="00F678D2"/>
    <w:rsid w:val="00F67B76"/>
    <w:rsid w:val="00F67B8B"/>
    <w:rsid w:val="00F67F96"/>
    <w:rsid w:val="00F7010B"/>
    <w:rsid w:val="00F70111"/>
    <w:rsid w:val="00F703AC"/>
    <w:rsid w:val="00F7052F"/>
    <w:rsid w:val="00F706A8"/>
    <w:rsid w:val="00F70792"/>
    <w:rsid w:val="00F70C51"/>
    <w:rsid w:val="00F71161"/>
    <w:rsid w:val="00F71D67"/>
    <w:rsid w:val="00F72734"/>
    <w:rsid w:val="00F727FC"/>
    <w:rsid w:val="00F72D19"/>
    <w:rsid w:val="00F7317C"/>
    <w:rsid w:val="00F7323C"/>
    <w:rsid w:val="00F7353B"/>
    <w:rsid w:val="00F73A73"/>
    <w:rsid w:val="00F7418A"/>
    <w:rsid w:val="00F743E4"/>
    <w:rsid w:val="00F744E4"/>
    <w:rsid w:val="00F748BC"/>
    <w:rsid w:val="00F75407"/>
    <w:rsid w:val="00F756FE"/>
    <w:rsid w:val="00F75C5F"/>
    <w:rsid w:val="00F75D66"/>
    <w:rsid w:val="00F75DD4"/>
    <w:rsid w:val="00F75EED"/>
    <w:rsid w:val="00F76478"/>
    <w:rsid w:val="00F76585"/>
    <w:rsid w:val="00F769E2"/>
    <w:rsid w:val="00F76C95"/>
    <w:rsid w:val="00F76DA5"/>
    <w:rsid w:val="00F76E5D"/>
    <w:rsid w:val="00F7703C"/>
    <w:rsid w:val="00F774E9"/>
    <w:rsid w:val="00F778B5"/>
    <w:rsid w:val="00F77B40"/>
    <w:rsid w:val="00F77BBD"/>
    <w:rsid w:val="00F77CBC"/>
    <w:rsid w:val="00F77FF8"/>
    <w:rsid w:val="00F80878"/>
    <w:rsid w:val="00F80A3E"/>
    <w:rsid w:val="00F80B7E"/>
    <w:rsid w:val="00F80F53"/>
    <w:rsid w:val="00F81408"/>
    <w:rsid w:val="00F82279"/>
    <w:rsid w:val="00F8233E"/>
    <w:rsid w:val="00F8246A"/>
    <w:rsid w:val="00F82579"/>
    <w:rsid w:val="00F82844"/>
    <w:rsid w:val="00F82890"/>
    <w:rsid w:val="00F832BD"/>
    <w:rsid w:val="00F8331F"/>
    <w:rsid w:val="00F836F4"/>
    <w:rsid w:val="00F83F7F"/>
    <w:rsid w:val="00F83FB5"/>
    <w:rsid w:val="00F841BC"/>
    <w:rsid w:val="00F84256"/>
    <w:rsid w:val="00F84537"/>
    <w:rsid w:val="00F845DB"/>
    <w:rsid w:val="00F84849"/>
    <w:rsid w:val="00F849AD"/>
    <w:rsid w:val="00F84C09"/>
    <w:rsid w:val="00F84FA5"/>
    <w:rsid w:val="00F85076"/>
    <w:rsid w:val="00F850B3"/>
    <w:rsid w:val="00F8540A"/>
    <w:rsid w:val="00F8545F"/>
    <w:rsid w:val="00F8570E"/>
    <w:rsid w:val="00F8573B"/>
    <w:rsid w:val="00F85C52"/>
    <w:rsid w:val="00F860D6"/>
    <w:rsid w:val="00F862F6"/>
    <w:rsid w:val="00F864F3"/>
    <w:rsid w:val="00F86814"/>
    <w:rsid w:val="00F86969"/>
    <w:rsid w:val="00F86ACD"/>
    <w:rsid w:val="00F86DC9"/>
    <w:rsid w:val="00F8716A"/>
    <w:rsid w:val="00F877F0"/>
    <w:rsid w:val="00F8786D"/>
    <w:rsid w:val="00F878D5"/>
    <w:rsid w:val="00F901B1"/>
    <w:rsid w:val="00F901D2"/>
    <w:rsid w:val="00F901FF"/>
    <w:rsid w:val="00F907E4"/>
    <w:rsid w:val="00F90B4D"/>
    <w:rsid w:val="00F913A2"/>
    <w:rsid w:val="00F913B3"/>
    <w:rsid w:val="00F9177C"/>
    <w:rsid w:val="00F918BF"/>
    <w:rsid w:val="00F91E12"/>
    <w:rsid w:val="00F921A3"/>
    <w:rsid w:val="00F924D1"/>
    <w:rsid w:val="00F928AC"/>
    <w:rsid w:val="00F93227"/>
    <w:rsid w:val="00F93248"/>
    <w:rsid w:val="00F94300"/>
    <w:rsid w:val="00F94621"/>
    <w:rsid w:val="00F9487B"/>
    <w:rsid w:val="00F94E03"/>
    <w:rsid w:val="00F95053"/>
    <w:rsid w:val="00F951D9"/>
    <w:rsid w:val="00F9536A"/>
    <w:rsid w:val="00F9588E"/>
    <w:rsid w:val="00F958B2"/>
    <w:rsid w:val="00F96006"/>
    <w:rsid w:val="00F96176"/>
    <w:rsid w:val="00F96453"/>
    <w:rsid w:val="00F965DB"/>
    <w:rsid w:val="00F9703D"/>
    <w:rsid w:val="00F973FA"/>
    <w:rsid w:val="00F974E2"/>
    <w:rsid w:val="00F97A8F"/>
    <w:rsid w:val="00F97DE9"/>
    <w:rsid w:val="00F97ED2"/>
    <w:rsid w:val="00FA0061"/>
    <w:rsid w:val="00FA02FF"/>
    <w:rsid w:val="00FA0560"/>
    <w:rsid w:val="00FA0633"/>
    <w:rsid w:val="00FA0795"/>
    <w:rsid w:val="00FA1379"/>
    <w:rsid w:val="00FA1776"/>
    <w:rsid w:val="00FA17BF"/>
    <w:rsid w:val="00FA1D5E"/>
    <w:rsid w:val="00FA1F4A"/>
    <w:rsid w:val="00FA26E8"/>
    <w:rsid w:val="00FA290E"/>
    <w:rsid w:val="00FA2C53"/>
    <w:rsid w:val="00FA2F80"/>
    <w:rsid w:val="00FA329A"/>
    <w:rsid w:val="00FA3301"/>
    <w:rsid w:val="00FA3AD6"/>
    <w:rsid w:val="00FA3BCD"/>
    <w:rsid w:val="00FA3D6E"/>
    <w:rsid w:val="00FA448A"/>
    <w:rsid w:val="00FA448B"/>
    <w:rsid w:val="00FA45E8"/>
    <w:rsid w:val="00FA47B9"/>
    <w:rsid w:val="00FA4C38"/>
    <w:rsid w:val="00FA57C0"/>
    <w:rsid w:val="00FA5CD6"/>
    <w:rsid w:val="00FA5DC9"/>
    <w:rsid w:val="00FA5E66"/>
    <w:rsid w:val="00FA60EE"/>
    <w:rsid w:val="00FA640C"/>
    <w:rsid w:val="00FA663D"/>
    <w:rsid w:val="00FA6B42"/>
    <w:rsid w:val="00FA6C59"/>
    <w:rsid w:val="00FA7380"/>
    <w:rsid w:val="00FA766F"/>
    <w:rsid w:val="00FA7706"/>
    <w:rsid w:val="00FA7EA6"/>
    <w:rsid w:val="00FA7FAA"/>
    <w:rsid w:val="00FB010D"/>
    <w:rsid w:val="00FB01AD"/>
    <w:rsid w:val="00FB01C3"/>
    <w:rsid w:val="00FB0637"/>
    <w:rsid w:val="00FB0807"/>
    <w:rsid w:val="00FB1007"/>
    <w:rsid w:val="00FB2016"/>
    <w:rsid w:val="00FB22FB"/>
    <w:rsid w:val="00FB251D"/>
    <w:rsid w:val="00FB25A0"/>
    <w:rsid w:val="00FB27F2"/>
    <w:rsid w:val="00FB2968"/>
    <w:rsid w:val="00FB2A7E"/>
    <w:rsid w:val="00FB2D6F"/>
    <w:rsid w:val="00FB2E9C"/>
    <w:rsid w:val="00FB325B"/>
    <w:rsid w:val="00FB32EF"/>
    <w:rsid w:val="00FB3695"/>
    <w:rsid w:val="00FB3899"/>
    <w:rsid w:val="00FB390B"/>
    <w:rsid w:val="00FB3C78"/>
    <w:rsid w:val="00FB3D69"/>
    <w:rsid w:val="00FB3DA9"/>
    <w:rsid w:val="00FB3E36"/>
    <w:rsid w:val="00FB3F12"/>
    <w:rsid w:val="00FB3FEE"/>
    <w:rsid w:val="00FB43A5"/>
    <w:rsid w:val="00FB4502"/>
    <w:rsid w:val="00FB4CC8"/>
    <w:rsid w:val="00FB4EB0"/>
    <w:rsid w:val="00FB53A6"/>
    <w:rsid w:val="00FB53E0"/>
    <w:rsid w:val="00FB57C3"/>
    <w:rsid w:val="00FB5CB7"/>
    <w:rsid w:val="00FB5CC0"/>
    <w:rsid w:val="00FB5DE6"/>
    <w:rsid w:val="00FB5EB6"/>
    <w:rsid w:val="00FB6173"/>
    <w:rsid w:val="00FB629B"/>
    <w:rsid w:val="00FB6503"/>
    <w:rsid w:val="00FB65A1"/>
    <w:rsid w:val="00FB670D"/>
    <w:rsid w:val="00FB7250"/>
    <w:rsid w:val="00FB73F2"/>
    <w:rsid w:val="00FB7833"/>
    <w:rsid w:val="00FB7E18"/>
    <w:rsid w:val="00FC0182"/>
    <w:rsid w:val="00FC0866"/>
    <w:rsid w:val="00FC10BE"/>
    <w:rsid w:val="00FC14DF"/>
    <w:rsid w:val="00FC185B"/>
    <w:rsid w:val="00FC2308"/>
    <w:rsid w:val="00FC2992"/>
    <w:rsid w:val="00FC2CD5"/>
    <w:rsid w:val="00FC2F47"/>
    <w:rsid w:val="00FC309D"/>
    <w:rsid w:val="00FC3422"/>
    <w:rsid w:val="00FC3593"/>
    <w:rsid w:val="00FC3E61"/>
    <w:rsid w:val="00FC3F52"/>
    <w:rsid w:val="00FC3FAE"/>
    <w:rsid w:val="00FC4386"/>
    <w:rsid w:val="00FC43E4"/>
    <w:rsid w:val="00FC4AFD"/>
    <w:rsid w:val="00FC4EEA"/>
    <w:rsid w:val="00FC4F23"/>
    <w:rsid w:val="00FC4F9B"/>
    <w:rsid w:val="00FC5747"/>
    <w:rsid w:val="00FC5896"/>
    <w:rsid w:val="00FC5978"/>
    <w:rsid w:val="00FC5CD8"/>
    <w:rsid w:val="00FC5FE8"/>
    <w:rsid w:val="00FC6346"/>
    <w:rsid w:val="00FC6590"/>
    <w:rsid w:val="00FC6958"/>
    <w:rsid w:val="00FC6A1D"/>
    <w:rsid w:val="00FC6EF9"/>
    <w:rsid w:val="00FC6FC9"/>
    <w:rsid w:val="00FC6FFD"/>
    <w:rsid w:val="00FC721A"/>
    <w:rsid w:val="00FC74CA"/>
    <w:rsid w:val="00FC7583"/>
    <w:rsid w:val="00FC76A3"/>
    <w:rsid w:val="00FD056D"/>
    <w:rsid w:val="00FD0876"/>
    <w:rsid w:val="00FD0A34"/>
    <w:rsid w:val="00FD10E9"/>
    <w:rsid w:val="00FD13F1"/>
    <w:rsid w:val="00FD14F9"/>
    <w:rsid w:val="00FD1515"/>
    <w:rsid w:val="00FD1528"/>
    <w:rsid w:val="00FD1546"/>
    <w:rsid w:val="00FD1672"/>
    <w:rsid w:val="00FD17DE"/>
    <w:rsid w:val="00FD180E"/>
    <w:rsid w:val="00FD1DC4"/>
    <w:rsid w:val="00FD1E3C"/>
    <w:rsid w:val="00FD1E8A"/>
    <w:rsid w:val="00FD237E"/>
    <w:rsid w:val="00FD26AD"/>
    <w:rsid w:val="00FD2C43"/>
    <w:rsid w:val="00FD2DE1"/>
    <w:rsid w:val="00FD34D0"/>
    <w:rsid w:val="00FD3992"/>
    <w:rsid w:val="00FD39C0"/>
    <w:rsid w:val="00FD3AD8"/>
    <w:rsid w:val="00FD3BC9"/>
    <w:rsid w:val="00FD3C60"/>
    <w:rsid w:val="00FD3F2A"/>
    <w:rsid w:val="00FD4297"/>
    <w:rsid w:val="00FD452F"/>
    <w:rsid w:val="00FD49C4"/>
    <w:rsid w:val="00FD4A71"/>
    <w:rsid w:val="00FD4C77"/>
    <w:rsid w:val="00FD4C81"/>
    <w:rsid w:val="00FD4D25"/>
    <w:rsid w:val="00FD5093"/>
    <w:rsid w:val="00FD5241"/>
    <w:rsid w:val="00FD5F2C"/>
    <w:rsid w:val="00FD5F7E"/>
    <w:rsid w:val="00FD60EA"/>
    <w:rsid w:val="00FD6199"/>
    <w:rsid w:val="00FD63CC"/>
    <w:rsid w:val="00FD6891"/>
    <w:rsid w:val="00FD69E9"/>
    <w:rsid w:val="00FD6A42"/>
    <w:rsid w:val="00FD6B52"/>
    <w:rsid w:val="00FD6BE8"/>
    <w:rsid w:val="00FD6D07"/>
    <w:rsid w:val="00FD6DB7"/>
    <w:rsid w:val="00FD6E08"/>
    <w:rsid w:val="00FD6FAC"/>
    <w:rsid w:val="00FD77A9"/>
    <w:rsid w:val="00FD7A49"/>
    <w:rsid w:val="00FD7AA4"/>
    <w:rsid w:val="00FE0916"/>
    <w:rsid w:val="00FE0CC0"/>
    <w:rsid w:val="00FE0EC4"/>
    <w:rsid w:val="00FE0EF4"/>
    <w:rsid w:val="00FE1240"/>
    <w:rsid w:val="00FE1FD3"/>
    <w:rsid w:val="00FE2400"/>
    <w:rsid w:val="00FE24DB"/>
    <w:rsid w:val="00FE2714"/>
    <w:rsid w:val="00FE28B7"/>
    <w:rsid w:val="00FE28BE"/>
    <w:rsid w:val="00FE294E"/>
    <w:rsid w:val="00FE2B70"/>
    <w:rsid w:val="00FE2C88"/>
    <w:rsid w:val="00FE2CFE"/>
    <w:rsid w:val="00FE3112"/>
    <w:rsid w:val="00FE3123"/>
    <w:rsid w:val="00FE323B"/>
    <w:rsid w:val="00FE3527"/>
    <w:rsid w:val="00FE3B60"/>
    <w:rsid w:val="00FE3BBF"/>
    <w:rsid w:val="00FE3E6E"/>
    <w:rsid w:val="00FE3F3D"/>
    <w:rsid w:val="00FE403A"/>
    <w:rsid w:val="00FE4619"/>
    <w:rsid w:val="00FE4AB9"/>
    <w:rsid w:val="00FE5129"/>
    <w:rsid w:val="00FE51F3"/>
    <w:rsid w:val="00FE54D2"/>
    <w:rsid w:val="00FE5580"/>
    <w:rsid w:val="00FE560B"/>
    <w:rsid w:val="00FE5864"/>
    <w:rsid w:val="00FE5A73"/>
    <w:rsid w:val="00FE5BA9"/>
    <w:rsid w:val="00FE5E1C"/>
    <w:rsid w:val="00FE6136"/>
    <w:rsid w:val="00FE6BBD"/>
    <w:rsid w:val="00FE6E59"/>
    <w:rsid w:val="00FE6F60"/>
    <w:rsid w:val="00FE726D"/>
    <w:rsid w:val="00FE7288"/>
    <w:rsid w:val="00FE780F"/>
    <w:rsid w:val="00FE787B"/>
    <w:rsid w:val="00FE78FA"/>
    <w:rsid w:val="00FE7AED"/>
    <w:rsid w:val="00FE7B86"/>
    <w:rsid w:val="00FE7D2F"/>
    <w:rsid w:val="00FE7EBB"/>
    <w:rsid w:val="00FF093A"/>
    <w:rsid w:val="00FF0F99"/>
    <w:rsid w:val="00FF1029"/>
    <w:rsid w:val="00FF112C"/>
    <w:rsid w:val="00FF1280"/>
    <w:rsid w:val="00FF12EA"/>
    <w:rsid w:val="00FF166A"/>
    <w:rsid w:val="00FF1C1D"/>
    <w:rsid w:val="00FF1C30"/>
    <w:rsid w:val="00FF2095"/>
    <w:rsid w:val="00FF20F8"/>
    <w:rsid w:val="00FF21A1"/>
    <w:rsid w:val="00FF23C7"/>
    <w:rsid w:val="00FF288C"/>
    <w:rsid w:val="00FF29A8"/>
    <w:rsid w:val="00FF3207"/>
    <w:rsid w:val="00FF3416"/>
    <w:rsid w:val="00FF35CA"/>
    <w:rsid w:val="00FF3A84"/>
    <w:rsid w:val="00FF3DAE"/>
    <w:rsid w:val="00FF3E72"/>
    <w:rsid w:val="00FF3F16"/>
    <w:rsid w:val="00FF4573"/>
    <w:rsid w:val="00FF4A17"/>
    <w:rsid w:val="00FF4A99"/>
    <w:rsid w:val="00FF4B31"/>
    <w:rsid w:val="00FF4BA5"/>
    <w:rsid w:val="00FF4C78"/>
    <w:rsid w:val="00FF5D89"/>
    <w:rsid w:val="00FF6265"/>
    <w:rsid w:val="00FF62E0"/>
    <w:rsid w:val="00FF64A2"/>
    <w:rsid w:val="00FF66F0"/>
    <w:rsid w:val="00FF6B75"/>
    <w:rsid w:val="00FF6C6C"/>
    <w:rsid w:val="00FF6D04"/>
    <w:rsid w:val="00FF78D6"/>
    <w:rsid w:val="01127095"/>
    <w:rsid w:val="0346134F"/>
    <w:rsid w:val="0500375D"/>
    <w:rsid w:val="06064832"/>
    <w:rsid w:val="06926235"/>
    <w:rsid w:val="09D4428C"/>
    <w:rsid w:val="0A6845A4"/>
    <w:rsid w:val="0C174385"/>
    <w:rsid w:val="0E6C7F76"/>
    <w:rsid w:val="0F113D74"/>
    <w:rsid w:val="10F7052B"/>
    <w:rsid w:val="124869E2"/>
    <w:rsid w:val="152D7209"/>
    <w:rsid w:val="184F674E"/>
    <w:rsid w:val="189F7A56"/>
    <w:rsid w:val="194603C8"/>
    <w:rsid w:val="1AF776D6"/>
    <w:rsid w:val="1B8949F3"/>
    <w:rsid w:val="1C4471E9"/>
    <w:rsid w:val="1E43047F"/>
    <w:rsid w:val="1F15070B"/>
    <w:rsid w:val="20301AE3"/>
    <w:rsid w:val="23212B46"/>
    <w:rsid w:val="23820A5F"/>
    <w:rsid w:val="25C17357"/>
    <w:rsid w:val="264756D9"/>
    <w:rsid w:val="26C16DEA"/>
    <w:rsid w:val="2A591FDF"/>
    <w:rsid w:val="2B826D76"/>
    <w:rsid w:val="2C940039"/>
    <w:rsid w:val="2DE900DD"/>
    <w:rsid w:val="2F8B4E36"/>
    <w:rsid w:val="2F8F374E"/>
    <w:rsid w:val="31F858ED"/>
    <w:rsid w:val="330B3B6A"/>
    <w:rsid w:val="33F67D3B"/>
    <w:rsid w:val="394D0C57"/>
    <w:rsid w:val="3B9A21BF"/>
    <w:rsid w:val="3ED77938"/>
    <w:rsid w:val="40DD56A3"/>
    <w:rsid w:val="41797F92"/>
    <w:rsid w:val="427B3565"/>
    <w:rsid w:val="42A56851"/>
    <w:rsid w:val="43FE091F"/>
    <w:rsid w:val="44237DFB"/>
    <w:rsid w:val="487A6629"/>
    <w:rsid w:val="4CA74D1E"/>
    <w:rsid w:val="4DCF7EBB"/>
    <w:rsid w:val="4E2345FA"/>
    <w:rsid w:val="4F76591C"/>
    <w:rsid w:val="51366BBD"/>
    <w:rsid w:val="523F5255"/>
    <w:rsid w:val="52D50A4A"/>
    <w:rsid w:val="5CBD0A5A"/>
    <w:rsid w:val="5DCC36EE"/>
    <w:rsid w:val="5F491AAC"/>
    <w:rsid w:val="5FEE1F10"/>
    <w:rsid w:val="603A5A87"/>
    <w:rsid w:val="63926438"/>
    <w:rsid w:val="64813693"/>
    <w:rsid w:val="67A21347"/>
    <w:rsid w:val="70FC40F7"/>
    <w:rsid w:val="71A51774"/>
    <w:rsid w:val="766B5F5F"/>
    <w:rsid w:val="78F908B7"/>
    <w:rsid w:val="796C2D21"/>
    <w:rsid w:val="7A403339"/>
    <w:rsid w:val="7F3D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color="white">
      <v:fill color="white"/>
    </o:shapedefaults>
    <o:shapelayout v:ext="edit">
      <o:idmap v:ext="edit" data="1"/>
    </o:shapelayout>
  </w:shapeDefaults>
  <w:decimalSymbol w:val="."/>
  <w:listSeparator w:val=","/>
  <w14:docId w14:val="1E114CE6"/>
  <w15:docId w15:val="{F18C418C-BE21-472A-A765-2234EC4D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unhideWhenUsed/>
    <w:qFormat/>
    <w:pPr>
      <w:jc w:val="left"/>
    </w:pPr>
  </w:style>
  <w:style w:type="paragraph" w:styleId="a5">
    <w:name w:val="Body Text"/>
    <w:basedOn w:val="a0"/>
    <w:link w:val="Char0"/>
    <w:qFormat/>
    <w:pPr>
      <w:widowControl/>
      <w:spacing w:line="288" w:lineRule="auto"/>
      <w:ind w:right="-55"/>
    </w:pPr>
    <w:rPr>
      <w:rFonts w:ascii="宋体"/>
      <w:sz w:val="24"/>
    </w:rPr>
  </w:style>
  <w:style w:type="paragraph" w:styleId="a6">
    <w:name w:val="Plain Text"/>
    <w:basedOn w:val="a0"/>
    <w:link w:val="Char1"/>
    <w:qFormat/>
    <w:rPr>
      <w:rFonts w:ascii="宋体" w:hAnsi="Courier New"/>
      <w:szCs w:val="20"/>
    </w:rPr>
  </w:style>
  <w:style w:type="paragraph" w:styleId="a7">
    <w:name w:val="endnote text"/>
    <w:basedOn w:val="a0"/>
    <w:link w:val="Char2"/>
    <w:uiPriority w:val="99"/>
    <w:unhideWhenUsed/>
    <w:qFormat/>
    <w:pPr>
      <w:snapToGrid w:val="0"/>
      <w:jc w:val="left"/>
    </w:pPr>
  </w:style>
  <w:style w:type="paragraph" w:styleId="a8">
    <w:name w:val="Balloon Text"/>
    <w:basedOn w:val="a0"/>
    <w:link w:val="Char3"/>
    <w:uiPriority w:val="99"/>
    <w:unhideWhenUsed/>
    <w:qFormat/>
    <w:rPr>
      <w:sz w:val="18"/>
      <w:szCs w:val="18"/>
    </w:rPr>
  </w:style>
  <w:style w:type="paragraph" w:styleId="a9">
    <w:name w:val="footer"/>
    <w:basedOn w:val="a0"/>
    <w:link w:val="Char4"/>
    <w:qFormat/>
    <w:pPr>
      <w:tabs>
        <w:tab w:val="center" w:pos="4320"/>
        <w:tab w:val="right" w:pos="8640"/>
      </w:tabs>
      <w:autoSpaceDE w:val="0"/>
      <w:autoSpaceDN w:val="0"/>
      <w:adjustRightInd w:val="0"/>
      <w:jc w:val="left"/>
    </w:pPr>
    <w:rPr>
      <w:kern w:val="0"/>
      <w:sz w:val="20"/>
      <w:szCs w:val="20"/>
      <w:lang w:eastAsia="en-US"/>
    </w:rPr>
  </w:style>
  <w:style w:type="paragraph" w:styleId="aa">
    <w:name w:val="header"/>
    <w:basedOn w:val="a0"/>
    <w:link w:val="Char10"/>
    <w:qFormat/>
    <w:pPr>
      <w:widowControl/>
      <w:tabs>
        <w:tab w:val="center" w:pos="4153"/>
        <w:tab w:val="right" w:pos="8306"/>
      </w:tabs>
      <w:snapToGrid w:val="0"/>
      <w:jc w:val="left"/>
    </w:pPr>
    <w:rPr>
      <w:kern w:val="0"/>
      <w:sz w:val="20"/>
      <w:szCs w:val="20"/>
    </w:rPr>
  </w:style>
  <w:style w:type="paragraph" w:styleId="ab">
    <w:name w:val="footnote text"/>
    <w:basedOn w:val="a0"/>
    <w:link w:val="Char11"/>
    <w:qFormat/>
    <w:pPr>
      <w:snapToGrid w:val="0"/>
      <w:jc w:val="left"/>
    </w:pPr>
    <w:rPr>
      <w:sz w:val="18"/>
      <w:szCs w:val="18"/>
    </w:rPr>
  </w:style>
  <w:style w:type="paragraph" w:styleId="3">
    <w:name w:val="Body Text Indent 3"/>
    <w:basedOn w:val="a0"/>
    <w:link w:val="3Char"/>
    <w:qFormat/>
    <w:pPr>
      <w:snapToGrid w:val="0"/>
      <w:ind w:firstLineChars="200" w:firstLine="480"/>
    </w:pPr>
    <w:rPr>
      <w:rFonts w:ascii="MS Outlook" w:hAnsi="MS Outlook"/>
      <w:sz w:val="24"/>
    </w:rPr>
  </w:style>
  <w:style w:type="paragraph" w:styleId="ac">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link w:val="Char12"/>
    <w:uiPriority w:val="99"/>
    <w:unhideWhenUsed/>
    <w:qFormat/>
    <w:rPr>
      <w:b/>
      <w:bCs/>
    </w:rPr>
  </w:style>
  <w:style w:type="table" w:styleId="ae">
    <w:name w:val="Table Grid"/>
    <w:basedOn w:val="a2"/>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basedOn w:val="a1"/>
    <w:uiPriority w:val="99"/>
    <w:unhideWhenUsed/>
    <w:qFormat/>
    <w:rPr>
      <w:vertAlign w:val="superscript"/>
    </w:rPr>
  </w:style>
  <w:style w:type="character" w:styleId="af0">
    <w:name w:val="page number"/>
    <w:basedOn w:val="a1"/>
    <w:qFormat/>
  </w:style>
  <w:style w:type="character" w:styleId="af1">
    <w:name w:val="Hyperlink"/>
    <w:basedOn w:val="a1"/>
    <w:uiPriority w:val="99"/>
    <w:unhideWhenUsed/>
    <w:qFormat/>
    <w:rPr>
      <w:color w:val="0563C1" w:themeColor="hyperlink"/>
      <w:u w:val="single"/>
    </w:rPr>
  </w:style>
  <w:style w:type="character" w:styleId="af2">
    <w:name w:val="annotation reference"/>
    <w:basedOn w:val="a1"/>
    <w:uiPriority w:val="99"/>
    <w:unhideWhenUsed/>
    <w:qFormat/>
    <w:rPr>
      <w:sz w:val="21"/>
      <w:szCs w:val="21"/>
    </w:rPr>
  </w:style>
  <w:style w:type="character" w:styleId="af3">
    <w:name w:val="footnote reference"/>
    <w:qFormat/>
    <w:rPr>
      <w:vertAlign w:val="superscript"/>
    </w:rPr>
  </w:style>
  <w:style w:type="character" w:customStyle="1" w:styleId="Char4">
    <w:name w:val="页脚 Char"/>
    <w:basedOn w:val="a1"/>
    <w:link w:val="a9"/>
    <w:qFormat/>
    <w:rPr>
      <w:rFonts w:ascii="Times New Roman" w:eastAsia="宋体" w:hAnsi="Times New Roman" w:cs="Times New Roman"/>
      <w:kern w:val="0"/>
      <w:sz w:val="20"/>
      <w:szCs w:val="20"/>
      <w:lang w:eastAsia="en-US"/>
    </w:rPr>
  </w:style>
  <w:style w:type="character" w:customStyle="1" w:styleId="3Char">
    <w:name w:val="正文文本缩进 3 Char"/>
    <w:basedOn w:val="a1"/>
    <w:link w:val="3"/>
    <w:qFormat/>
    <w:rPr>
      <w:rFonts w:ascii="MS Outlook" w:eastAsia="宋体" w:hAnsi="MS Outlook" w:cs="Times New Roman"/>
      <w:sz w:val="24"/>
      <w:szCs w:val="24"/>
    </w:rPr>
  </w:style>
  <w:style w:type="character" w:customStyle="1" w:styleId="Char0">
    <w:name w:val="正文文本 Char"/>
    <w:basedOn w:val="a1"/>
    <w:link w:val="a5"/>
    <w:qFormat/>
    <w:rPr>
      <w:rFonts w:ascii="宋体" w:eastAsia="宋体" w:hAnsi="Times New Roman" w:cs="Times New Roman"/>
      <w:sz w:val="24"/>
      <w:szCs w:val="24"/>
    </w:rPr>
  </w:style>
  <w:style w:type="character" w:customStyle="1" w:styleId="Char10">
    <w:name w:val="页眉 Char1"/>
    <w:basedOn w:val="a1"/>
    <w:link w:val="aa"/>
    <w:qFormat/>
    <w:rPr>
      <w:rFonts w:ascii="Times New Roman" w:eastAsia="宋体" w:hAnsi="Times New Roman" w:cs="Times New Roman"/>
      <w:kern w:val="0"/>
      <w:sz w:val="20"/>
      <w:szCs w:val="20"/>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Char11">
    <w:name w:val="脚注文本 Char1"/>
    <w:basedOn w:val="a1"/>
    <w:link w:val="ab"/>
    <w:qFormat/>
    <w:rPr>
      <w:rFonts w:ascii="Times New Roman" w:eastAsia="宋体" w:hAnsi="Times New Roman" w:cs="Times New Roman"/>
      <w:sz w:val="18"/>
      <w:szCs w:val="18"/>
    </w:rPr>
  </w:style>
  <w:style w:type="paragraph" w:customStyle="1" w:styleId="af4">
    <w:name w:val="章标题"/>
    <w:basedOn w:val="a0"/>
    <w:qFormat/>
    <w:pPr>
      <w:spacing w:beforeLines="150"/>
      <w:jc w:val="center"/>
    </w:pPr>
    <w:rPr>
      <w:rFonts w:ascii="宋体" w:hAnsi="宋体"/>
      <w:b/>
      <w:bCs/>
    </w:rPr>
  </w:style>
  <w:style w:type="paragraph" w:customStyle="1" w:styleId="a">
    <w:name w:val="条目标题"/>
    <w:basedOn w:val="a0"/>
    <w:qFormat/>
    <w:pPr>
      <w:numPr>
        <w:numId w:val="1"/>
      </w:numPr>
      <w:tabs>
        <w:tab w:val="left" w:pos="420"/>
        <w:tab w:val="left" w:pos="562"/>
      </w:tabs>
      <w:spacing w:beforeLines="100"/>
    </w:pPr>
    <w:rPr>
      <w:rFonts w:ascii="宋体" w:hAnsi="宋体"/>
      <w:b/>
      <w:bCs/>
    </w:rPr>
  </w:style>
  <w:style w:type="paragraph" w:customStyle="1" w:styleId="af5">
    <w:name w:val="正文内容"/>
    <w:basedOn w:val="a0"/>
    <w:link w:val="af6"/>
    <w:qFormat/>
    <w:pPr>
      <w:spacing w:beforeLines="50"/>
      <w:ind w:firstLineChars="200" w:firstLine="420"/>
    </w:pPr>
    <w:rPr>
      <w:rFonts w:ascii="宋体" w:hAnsi="宋体"/>
    </w:rPr>
  </w:style>
  <w:style w:type="paragraph" w:customStyle="1" w:styleId="2">
    <w:name w:val="条目标题2"/>
    <w:basedOn w:val="a"/>
    <w:qFormat/>
    <w:pPr>
      <w:tabs>
        <w:tab w:val="left" w:pos="1050"/>
      </w:tabs>
      <w:spacing w:before="312"/>
      <w:ind w:left="902" w:hanging="902"/>
    </w:pPr>
  </w:style>
  <w:style w:type="paragraph" w:customStyle="1" w:styleId="30">
    <w:name w:val="条目标题3"/>
    <w:basedOn w:val="a"/>
    <w:qFormat/>
    <w:pPr>
      <w:spacing w:before="312"/>
    </w:p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character" w:customStyle="1" w:styleId="Char">
    <w:name w:val="批注文字 Char"/>
    <w:basedOn w:val="a1"/>
    <w:link w:val="a4"/>
    <w:uiPriority w:val="99"/>
    <w:qFormat/>
    <w:rPr>
      <w:rFonts w:ascii="Times New Roman" w:eastAsia="宋体" w:hAnsi="Times New Roman" w:cs="Times New Roman"/>
      <w:szCs w:val="24"/>
    </w:rPr>
  </w:style>
  <w:style w:type="character" w:customStyle="1" w:styleId="Char12">
    <w:name w:val="批注主题 Char1"/>
    <w:basedOn w:val="Char"/>
    <w:link w:val="ad"/>
    <w:uiPriority w:val="99"/>
    <w:semiHidden/>
    <w:qFormat/>
    <w:rPr>
      <w:rFonts w:ascii="Times New Roman" w:eastAsia="宋体" w:hAnsi="Times New Roman" w:cs="Times New Roman"/>
      <w:b/>
      <w:bCs/>
      <w:szCs w:val="24"/>
    </w:rPr>
  </w:style>
  <w:style w:type="paragraph" w:customStyle="1" w:styleId="1">
    <w:name w:val="列出段落1"/>
    <w:basedOn w:val="a0"/>
    <w:uiPriority w:val="34"/>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customStyle="1" w:styleId="20">
    <w:name w:val="修订2"/>
    <w:hidden/>
    <w:uiPriority w:val="99"/>
    <w:semiHidden/>
    <w:qFormat/>
    <w:rPr>
      <w:rFonts w:ascii="Times New Roman" w:eastAsia="宋体" w:hAnsi="Times New Roman" w:cs="Times New Roman"/>
      <w:kern w:val="2"/>
      <w:sz w:val="21"/>
      <w:szCs w:val="24"/>
    </w:rPr>
  </w:style>
  <w:style w:type="character" w:customStyle="1" w:styleId="Char5">
    <w:name w:val="页眉 Char"/>
    <w:qFormat/>
    <w:rPr>
      <w:rFonts w:ascii="Times New Roman" w:eastAsia="宋体" w:hAnsi="Times New Roman" w:cs="Times New Roman"/>
      <w:kern w:val="0"/>
      <w:sz w:val="20"/>
      <w:szCs w:val="20"/>
    </w:rPr>
  </w:style>
  <w:style w:type="character" w:customStyle="1" w:styleId="Char6">
    <w:name w:val="脚注文本 Char"/>
    <w:qFormat/>
    <w:rPr>
      <w:rFonts w:ascii="Times New Roman" w:eastAsia="宋体" w:hAnsi="Times New Roman" w:cs="Times New Roman"/>
      <w:sz w:val="18"/>
      <w:szCs w:val="18"/>
    </w:rPr>
  </w:style>
  <w:style w:type="character" w:customStyle="1" w:styleId="Char7">
    <w:name w:val="批注主题 Char"/>
    <w:uiPriority w:val="99"/>
    <w:semiHidden/>
    <w:qFormat/>
    <w:rPr>
      <w:rFonts w:ascii="Times New Roman" w:eastAsia="宋体" w:hAnsi="Times New Roman" w:cs="Times New Roman"/>
      <w:b/>
      <w:bCs/>
      <w:szCs w:val="24"/>
    </w:rPr>
  </w:style>
  <w:style w:type="paragraph" w:customStyle="1" w:styleId="31">
    <w:name w:val="修订3"/>
    <w:hidden/>
    <w:uiPriority w:val="99"/>
    <w:semiHidden/>
    <w:qFormat/>
    <w:rPr>
      <w:rFonts w:ascii="Times New Roman" w:eastAsia="宋体" w:hAnsi="Times New Roman" w:cs="Times New Roman"/>
      <w:kern w:val="2"/>
      <w:sz w:val="21"/>
      <w:szCs w:val="24"/>
    </w:rPr>
  </w:style>
  <w:style w:type="paragraph" w:customStyle="1" w:styleId="21">
    <w:name w:val="列出段落2"/>
    <w:basedOn w:val="a0"/>
    <w:uiPriority w:val="99"/>
    <w:qFormat/>
    <w:pPr>
      <w:ind w:firstLineChars="200" w:firstLine="420"/>
    </w:p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0"/>
    <w:uiPriority w:val="1"/>
    <w:qFormat/>
    <w:pPr>
      <w:autoSpaceDE w:val="0"/>
      <w:autoSpaceDN w:val="0"/>
      <w:spacing w:before="25"/>
      <w:ind w:left="112"/>
      <w:jc w:val="left"/>
    </w:pPr>
    <w:rPr>
      <w:rFonts w:ascii="仿宋" w:eastAsia="仿宋" w:hAnsi="仿宋" w:cs="仿宋"/>
      <w:kern w:val="0"/>
      <w:sz w:val="22"/>
      <w:szCs w:val="22"/>
    </w:rPr>
  </w:style>
  <w:style w:type="paragraph" w:customStyle="1" w:styleId="af7">
    <w:name w:val="病种标题"/>
    <w:basedOn w:val="a0"/>
    <w:link w:val="Char8"/>
    <w:qFormat/>
    <w:pPr>
      <w:spacing w:beforeLines="50" w:before="50"/>
      <w:ind w:firstLineChars="200" w:firstLine="200"/>
    </w:pPr>
    <w:rPr>
      <w:bCs/>
    </w:rPr>
  </w:style>
  <w:style w:type="character" w:customStyle="1" w:styleId="Char8">
    <w:name w:val="病种标题 Char"/>
    <w:basedOn w:val="a1"/>
    <w:link w:val="af7"/>
    <w:qFormat/>
    <w:rPr>
      <w:rFonts w:ascii="Times New Roman" w:eastAsia="宋体" w:hAnsi="Times New Roman" w:cs="Times New Roman"/>
      <w:bCs/>
      <w:kern w:val="2"/>
      <w:sz w:val="21"/>
      <w:szCs w:val="24"/>
    </w:rPr>
  </w:style>
  <w:style w:type="paragraph" w:customStyle="1" w:styleId="af8">
    <w:name w:val="阴影部分"/>
    <w:basedOn w:val="a0"/>
    <w:link w:val="Char9"/>
    <w:qFormat/>
    <w:pPr>
      <w:spacing w:beforeLines="50" w:before="50"/>
      <w:ind w:firstLine="420"/>
    </w:pPr>
    <w:rPr>
      <w:rFonts w:asciiTheme="minorEastAsia" w:hAnsiTheme="minorEastAsia"/>
      <w:bCs/>
    </w:rPr>
  </w:style>
  <w:style w:type="paragraph" w:customStyle="1" w:styleId="210">
    <w:name w:val="列出段落21"/>
    <w:basedOn w:val="a0"/>
    <w:uiPriority w:val="99"/>
    <w:qFormat/>
    <w:pPr>
      <w:ind w:firstLineChars="200" w:firstLine="420"/>
    </w:pPr>
  </w:style>
  <w:style w:type="character" w:customStyle="1" w:styleId="Char9">
    <w:name w:val="阴影部分 Char"/>
    <w:basedOn w:val="a1"/>
    <w:link w:val="af8"/>
    <w:qFormat/>
    <w:rPr>
      <w:rFonts w:asciiTheme="minorEastAsia" w:eastAsia="宋体" w:hAnsiTheme="minorEastAsia" w:cs="Times New Roman"/>
      <w:bCs/>
      <w:kern w:val="2"/>
      <w:sz w:val="21"/>
      <w:szCs w:val="24"/>
    </w:rPr>
  </w:style>
  <w:style w:type="character" w:customStyle="1" w:styleId="fontstyle01">
    <w:name w:val="fontstyle01"/>
    <w:basedOn w:val="a1"/>
    <w:qFormat/>
    <w:rPr>
      <w:rFonts w:ascii="宋体" w:eastAsia="宋体" w:hAnsi="宋体" w:hint="eastAsia"/>
      <w:color w:val="000000"/>
      <w:sz w:val="22"/>
      <w:szCs w:val="22"/>
    </w:rPr>
  </w:style>
  <w:style w:type="paragraph" w:customStyle="1" w:styleId="32">
    <w:name w:val="列出段落3"/>
    <w:basedOn w:val="a0"/>
    <w:uiPriority w:val="99"/>
    <w:qFormat/>
    <w:pPr>
      <w:ind w:firstLineChars="200" w:firstLine="420"/>
    </w:pPr>
  </w:style>
  <w:style w:type="character" w:customStyle="1" w:styleId="af6">
    <w:name w:val="正文内容 字符"/>
    <w:link w:val="af5"/>
    <w:qFormat/>
    <w:rPr>
      <w:rFonts w:ascii="宋体" w:eastAsia="宋体" w:hAnsi="宋体" w:cs="Times New Roman"/>
      <w:kern w:val="2"/>
      <w:sz w:val="21"/>
      <w:szCs w:val="24"/>
    </w:rPr>
  </w:style>
  <w:style w:type="paragraph" w:customStyle="1" w:styleId="310">
    <w:name w:val="修订31"/>
    <w:hidden/>
    <w:uiPriority w:val="99"/>
    <w:semiHidden/>
    <w:qFormat/>
    <w:rPr>
      <w:rFonts w:ascii="Times New Roman" w:eastAsia="宋体" w:hAnsi="Times New Roman" w:cs="Times New Roman"/>
      <w:kern w:val="2"/>
      <w:sz w:val="21"/>
      <w:szCs w:val="24"/>
    </w:rPr>
  </w:style>
  <w:style w:type="character" w:customStyle="1" w:styleId="Char1">
    <w:name w:val="纯文本 Char"/>
    <w:basedOn w:val="a1"/>
    <w:link w:val="a6"/>
    <w:qFormat/>
    <w:rPr>
      <w:rFonts w:ascii="宋体" w:eastAsia="宋体" w:hAnsi="Courier New" w:cs="Times New Roman"/>
      <w:kern w:val="2"/>
      <w:sz w:val="21"/>
    </w:rPr>
  </w:style>
  <w:style w:type="table" w:customStyle="1" w:styleId="11">
    <w:name w:val="网格型1"/>
    <w:basedOn w:val="a2"/>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0"/>
    <w:qFormat/>
    <w:pPr>
      <w:widowControl/>
      <w:ind w:firstLine="420"/>
    </w:pPr>
    <w:rPr>
      <w:rFonts w:hint="eastAsia"/>
      <w:kern w:val="0"/>
      <w:szCs w:val="21"/>
    </w:rPr>
  </w:style>
  <w:style w:type="character" w:customStyle="1" w:styleId="Char2">
    <w:name w:val="尾注文本 Char"/>
    <w:basedOn w:val="a1"/>
    <w:link w:val="a7"/>
    <w:uiPriority w:val="99"/>
    <w:semiHidden/>
    <w:qFormat/>
    <w:rPr>
      <w:rFonts w:ascii="Times New Roman" w:eastAsia="宋体" w:hAnsi="Times New Roman" w:cs="Times New Roman"/>
      <w:kern w:val="2"/>
      <w:sz w:val="21"/>
      <w:szCs w:val="24"/>
    </w:rPr>
  </w:style>
  <w:style w:type="table" w:customStyle="1" w:styleId="41">
    <w:name w:val="无格式表格 41"/>
    <w:basedOn w:val="a2"/>
    <w:uiPriority w:val="44"/>
    <w:qFormat/>
    <w:rPr>
      <w:rFonts w:ascii="Calibri" w:eastAsia="等线" w:hAnsi="Calibri" w:cs="Arial"/>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paragraph" w:customStyle="1" w:styleId="4">
    <w:name w:val="修订4"/>
    <w:hidden/>
    <w:uiPriority w:val="99"/>
    <w:semiHidden/>
    <w:qFormat/>
    <w:rPr>
      <w:rFonts w:ascii="Times New Roman" w:eastAsia="宋体" w:hAnsi="Times New Roman" w:cs="Times New Roman"/>
      <w:kern w:val="2"/>
      <w:sz w:val="21"/>
      <w:szCs w:val="24"/>
    </w:rPr>
  </w:style>
  <w:style w:type="paragraph" w:styleId="af9">
    <w:name w:val="Revision"/>
    <w:hidden/>
    <w:uiPriority w:val="99"/>
    <w:semiHidden/>
    <w:rsid w:val="00F42F0D"/>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310FB-2B89-4D81-8A5D-A5343B53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9927</Words>
  <Characters>56590</Characters>
  <Application>Microsoft Office Word</Application>
  <DocSecurity>4</DocSecurity>
  <Lines>471</Lines>
  <Paragraphs>132</Paragraphs>
  <ScaleCrop>false</ScaleCrop>
  <Company>招商仁和</Company>
  <LinksUpToDate>false</LinksUpToDate>
  <CharactersWithSpaces>66385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温凉</dc:creator>
  <cp:lastModifiedBy>沙瑞琦</cp:lastModifiedBy>
  <cp:revision>2</cp:revision>
  <cp:lastPrinted>2022-07-28T02:22:00Z</cp:lastPrinted>
  <dcterms:created xsi:type="dcterms:W3CDTF">2024-01-16T03:18:00Z</dcterms:created>
  <dcterms:modified xsi:type="dcterms:W3CDTF">2024-01-16T03:18:00Z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0F6BBF178A304515A1A42B32B51FED50</vt:lpwstr>
  </property>
</Properties>
</file>